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2" w:rsidRDefault="00B35F82" w:rsidP="00B35F82">
      <w:pPr>
        <w:jc w:val="both"/>
        <w:rPr>
          <w:b/>
        </w:rPr>
      </w:pPr>
      <w:r>
        <w:rPr>
          <w:b/>
        </w:rPr>
        <w:t xml:space="preserve">Lébény Város </w:t>
      </w:r>
    </w:p>
    <w:p w:rsidR="00B35F82" w:rsidRDefault="00B35F82" w:rsidP="00B35F82">
      <w:pPr>
        <w:jc w:val="both"/>
      </w:pPr>
      <w:r>
        <w:rPr>
          <w:b/>
        </w:rPr>
        <w:t>P o l g á r m e s t e r é t ő l</w:t>
      </w:r>
      <w:r>
        <w:tab/>
      </w:r>
    </w:p>
    <w:p w:rsidR="00B35F82" w:rsidRDefault="00B35F82" w:rsidP="00B35F82">
      <w:pPr>
        <w:ind w:right="-113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</w:t>
      </w:r>
      <w:proofErr w:type="gramStart"/>
      <w:r>
        <w:t>…….</w:t>
      </w:r>
      <w:proofErr w:type="gramEnd"/>
      <w:r>
        <w:t xml:space="preserve"> napirend</w:t>
      </w: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ind w:right="-1133"/>
        <w:jc w:val="center"/>
        <w:rPr>
          <w:b/>
        </w:rPr>
      </w:pPr>
      <w:r>
        <w:rPr>
          <w:b/>
        </w:rPr>
        <w:t>ELŐTERJESZTÉS</w:t>
      </w:r>
    </w:p>
    <w:p w:rsidR="00B35F82" w:rsidRDefault="00B35F82" w:rsidP="00B35F82">
      <w:pPr>
        <w:jc w:val="center"/>
        <w:rPr>
          <w:b/>
        </w:rPr>
      </w:pPr>
    </w:p>
    <w:p w:rsidR="00B35F82" w:rsidRDefault="00B35F82" w:rsidP="00B35F82">
      <w:pPr>
        <w:ind w:right="-1133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Képviselő-testület 2016. április 28-i</w:t>
      </w:r>
    </w:p>
    <w:p w:rsidR="00B35F82" w:rsidRDefault="00B35F82" w:rsidP="00B35F82">
      <w:pPr>
        <w:ind w:right="-1133"/>
        <w:jc w:val="center"/>
        <w:rPr>
          <w:b/>
        </w:rPr>
      </w:pPr>
      <w:proofErr w:type="gramStart"/>
      <w:r>
        <w:rPr>
          <w:b/>
        </w:rPr>
        <w:t>ülésére</w:t>
      </w:r>
      <w:proofErr w:type="gramEnd"/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jc w:val="both"/>
      </w:pPr>
    </w:p>
    <w:p w:rsidR="00B35F82" w:rsidRDefault="00B35F82" w:rsidP="00B35F82">
      <w:pPr>
        <w:ind w:left="900" w:hanging="900"/>
        <w:jc w:val="both"/>
      </w:pPr>
      <w:r>
        <w:rPr>
          <w:b/>
          <w:u w:val="single"/>
        </w:rPr>
        <w:t>Tárgy</w:t>
      </w:r>
      <w:r>
        <w:t>: 2015. évi zárszámadási rendelet</w:t>
      </w:r>
    </w:p>
    <w:p w:rsidR="00B35F82" w:rsidRDefault="00B35F82" w:rsidP="00B35F82">
      <w:pPr>
        <w:jc w:val="both"/>
      </w:pPr>
      <w:r>
        <w:rPr>
          <w:b/>
          <w:u w:val="single"/>
        </w:rPr>
        <w:t>Előterjesztő</w:t>
      </w:r>
      <w:r>
        <w:t>: Kovács Gábor, polgármester</w:t>
      </w:r>
    </w:p>
    <w:p w:rsidR="00D0469D" w:rsidRDefault="00D0469D" w:rsidP="002865F9">
      <w:pPr>
        <w:pStyle w:val="Cmsor1"/>
        <w:pageBreakBefore/>
        <w:spacing w:after="600"/>
        <w:jc w:val="both"/>
      </w:pPr>
      <w:r w:rsidRPr="004A5A87">
        <w:lastRenderedPageBreak/>
        <w:t xml:space="preserve"> </w:t>
      </w:r>
      <w:r w:rsidR="00240264">
        <w:t>Tisztelt Képviselő-testület!</w:t>
      </w:r>
    </w:p>
    <w:p w:rsidR="00240264" w:rsidRPr="00240264" w:rsidRDefault="00240264" w:rsidP="002865F9">
      <w:pPr>
        <w:keepNext/>
        <w:jc w:val="both"/>
      </w:pPr>
      <w:r>
        <w:t>Az önkormányzatok és költségvetési intézményeik beszámolási kötelezettségét az Államháztartás</w:t>
      </w:r>
      <w:r w:rsidR="002865F9">
        <w:t xml:space="preserve">ról szóló törvény </w:t>
      </w:r>
      <w:r>
        <w:t xml:space="preserve">és </w:t>
      </w:r>
      <w:r w:rsidRPr="00240264">
        <w:t>államháztartásról szóló törvény végrehajtásáról</w:t>
      </w:r>
      <w:r>
        <w:t xml:space="preserve"> szóló kormányrendelet </w:t>
      </w:r>
      <w:r w:rsidR="002865F9">
        <w:t>szabályozza. A</w:t>
      </w:r>
      <w:r>
        <w:t xml:space="preserve"> hatályos jogszabályi előírásoknak megfelelően az önkormányzat és intézményeinek beszámolóját elkészítettük, határidőre a Magyar Államkincstár felé benyújtottuk. </w:t>
      </w:r>
    </w:p>
    <w:p w:rsidR="00D0469D" w:rsidRDefault="00751320" w:rsidP="002865F9">
      <w:pPr>
        <w:pStyle w:val="Cmsor1"/>
        <w:numPr>
          <w:ilvl w:val="0"/>
          <w:numId w:val="2"/>
        </w:numPr>
        <w:spacing w:after="600"/>
        <w:jc w:val="both"/>
      </w:pPr>
      <w:r>
        <w:t>Az önkormányzati feladatellátás általános értékelése</w:t>
      </w:r>
    </w:p>
    <w:p w:rsidR="00D0469D" w:rsidRPr="004A5A87" w:rsidRDefault="00D0469D" w:rsidP="002865F9">
      <w:pPr>
        <w:pStyle w:val="Default"/>
        <w:keepNext/>
        <w:jc w:val="both"/>
        <w:rPr>
          <w:rFonts w:ascii="Times New Roman" w:hAnsi="Times New Roman"/>
          <w:szCs w:val="22"/>
        </w:rPr>
      </w:pPr>
      <w:r w:rsidRPr="004A5A87">
        <w:rPr>
          <w:rFonts w:ascii="Times New Roman" w:hAnsi="Times New Roman"/>
          <w:szCs w:val="22"/>
        </w:rPr>
        <w:t xml:space="preserve">Az önkormányzatok gazdálkodását illetően jelentős változás a 2014.évhez képest nem </w:t>
      </w:r>
      <w:r w:rsidR="008641A8">
        <w:rPr>
          <w:rFonts w:ascii="Times New Roman" w:hAnsi="Times New Roman"/>
          <w:szCs w:val="22"/>
        </w:rPr>
        <w:t>volt</w:t>
      </w:r>
      <w:r w:rsidRPr="004A5A87">
        <w:rPr>
          <w:rFonts w:ascii="Times New Roman" w:hAnsi="Times New Roman"/>
          <w:szCs w:val="22"/>
        </w:rPr>
        <w:t>, csupán az államháztartás számviteléről szóló 4/2013. (I.11.) Kormányrendelet finomítása történt, amely a gazdálkodási feladatokat pontosította, illetve egy</w:t>
      </w:r>
      <w:r w:rsidR="008641A8">
        <w:rPr>
          <w:rFonts w:ascii="Times New Roman" w:hAnsi="Times New Roman"/>
          <w:szCs w:val="22"/>
        </w:rPr>
        <w:t>s</w:t>
      </w:r>
      <w:r w:rsidRPr="004A5A87">
        <w:rPr>
          <w:rFonts w:ascii="Times New Roman" w:hAnsi="Times New Roman"/>
          <w:szCs w:val="22"/>
        </w:rPr>
        <w:t xml:space="preserve">égesítette. </w:t>
      </w:r>
    </w:p>
    <w:p w:rsidR="00D0469D" w:rsidRPr="004A5A87" w:rsidRDefault="00D0469D" w:rsidP="002865F9">
      <w:pPr>
        <w:pStyle w:val="Default"/>
        <w:keepNext/>
        <w:jc w:val="both"/>
        <w:rPr>
          <w:rFonts w:ascii="Times New Roman" w:hAnsi="Times New Roman"/>
          <w:szCs w:val="22"/>
        </w:rPr>
      </w:pPr>
      <w:r w:rsidRPr="004A5A87">
        <w:rPr>
          <w:rFonts w:ascii="Times New Roman" w:hAnsi="Times New Roman"/>
          <w:szCs w:val="22"/>
        </w:rPr>
        <w:t>A bevezetett számviteli változások a költségvetési szférában a hatékony erőforrás felhasználást, teljesítménymérést</w:t>
      </w:r>
      <w:r w:rsidR="008641A8">
        <w:rPr>
          <w:rFonts w:ascii="Times New Roman" w:hAnsi="Times New Roman"/>
          <w:szCs w:val="22"/>
        </w:rPr>
        <w:t xml:space="preserve"> és az egységesítést</w:t>
      </w:r>
      <w:r w:rsidRPr="004A5A87">
        <w:rPr>
          <w:rFonts w:ascii="Times New Roman" w:hAnsi="Times New Roman"/>
          <w:szCs w:val="22"/>
        </w:rPr>
        <w:t xml:space="preserve"> hivatott megvalósítani. </w:t>
      </w:r>
    </w:p>
    <w:p w:rsidR="00D0469D" w:rsidRPr="004A5A87" w:rsidRDefault="00D0469D" w:rsidP="007B00A7">
      <w:pPr>
        <w:pStyle w:val="Default"/>
        <w:keepNext/>
        <w:spacing w:before="120"/>
        <w:jc w:val="both"/>
        <w:rPr>
          <w:rFonts w:ascii="Times New Roman" w:hAnsi="Times New Roman"/>
          <w:szCs w:val="22"/>
        </w:rPr>
      </w:pPr>
      <w:r w:rsidRPr="004A5A87">
        <w:rPr>
          <w:rFonts w:ascii="Times New Roman" w:hAnsi="Times New Roman"/>
          <w:szCs w:val="22"/>
        </w:rPr>
        <w:t xml:space="preserve">Az intézmények működése és az önkormányzati feladatellátás finanszírozása biztosított volt, mindemellett a számlavezető banknál elhelyezett betétek után közel 1 M Ft kamatot realizáltunk. A kötelező feladatok megfelelő színvonalon kerültek ellátásra, az önként vállalt feladatok a működés biztonságát nem </w:t>
      </w:r>
      <w:r w:rsidR="002865F9">
        <w:rPr>
          <w:rFonts w:ascii="Times New Roman" w:hAnsi="Times New Roman"/>
          <w:szCs w:val="22"/>
        </w:rPr>
        <w:t>veszélyeztették</w:t>
      </w:r>
      <w:r w:rsidRPr="004A5A87">
        <w:rPr>
          <w:rFonts w:ascii="Times New Roman" w:hAnsi="Times New Roman"/>
          <w:szCs w:val="22"/>
        </w:rPr>
        <w:t xml:space="preserve">. Az önkormányzat pénzügyi helyzete stabil volt, a város megtartotta fizetőképességét. </w:t>
      </w:r>
    </w:p>
    <w:p w:rsidR="005F716F" w:rsidRPr="004A5A87" w:rsidRDefault="005F716F" w:rsidP="002865F9">
      <w:pPr>
        <w:pStyle w:val="Cmsor1"/>
        <w:spacing w:after="600"/>
        <w:jc w:val="both"/>
      </w:pPr>
      <w:r w:rsidRPr="004A5A87">
        <w:t>2. A költségvetés indoklása</w:t>
      </w:r>
    </w:p>
    <w:p w:rsidR="00855079" w:rsidRDefault="00D0469D" w:rsidP="002865F9">
      <w:pPr>
        <w:pStyle w:val="Default"/>
        <w:keepNext/>
        <w:jc w:val="both"/>
        <w:rPr>
          <w:rFonts w:ascii="Times New Roman" w:hAnsi="Times New Roman"/>
          <w:szCs w:val="22"/>
        </w:rPr>
      </w:pPr>
      <w:r w:rsidRPr="004A5A87">
        <w:rPr>
          <w:rFonts w:ascii="Times New Roman" w:hAnsi="Times New Roman"/>
          <w:szCs w:val="22"/>
        </w:rPr>
        <w:t>2015. évben az önkormányzat feladatainak ellátására 484440</w:t>
      </w:r>
      <w:r w:rsidR="005F716F" w:rsidRPr="004A5A87">
        <w:rPr>
          <w:rFonts w:ascii="Times New Roman" w:hAnsi="Times New Roman"/>
          <w:szCs w:val="22"/>
        </w:rPr>
        <w:t xml:space="preserve"> E </w:t>
      </w:r>
      <w:r w:rsidRPr="004A5A87">
        <w:rPr>
          <w:rFonts w:ascii="Times New Roman" w:hAnsi="Times New Roman"/>
          <w:szCs w:val="22"/>
        </w:rPr>
        <w:t xml:space="preserve">Ft kiadási előirányzatot hagyott jóvá. Év közben a felmerült többletfeladatok, a központi pótelőirányzatok átvezetése, a pályázatok sajáterejének előteremtése több alkalommal </w:t>
      </w:r>
      <w:r w:rsidR="002865F9">
        <w:rPr>
          <w:rFonts w:ascii="Times New Roman" w:hAnsi="Times New Roman"/>
          <w:szCs w:val="22"/>
        </w:rPr>
        <w:t xml:space="preserve">is az előirányzatok módosítását, illetve átcsoportosítását </w:t>
      </w:r>
      <w:r w:rsidRPr="004A5A87">
        <w:rPr>
          <w:rFonts w:ascii="Times New Roman" w:hAnsi="Times New Roman"/>
          <w:szCs w:val="22"/>
        </w:rPr>
        <w:t xml:space="preserve">indokolta, ennek eredményeképpen a költségvetési főösszeg </w:t>
      </w:r>
      <w:r w:rsidR="002865F9">
        <w:rPr>
          <w:rFonts w:ascii="Times New Roman" w:hAnsi="Times New Roman"/>
          <w:szCs w:val="22"/>
        </w:rPr>
        <w:t xml:space="preserve">előirányzata </w:t>
      </w:r>
      <w:r w:rsidR="005F716F" w:rsidRPr="004A5A87">
        <w:rPr>
          <w:rFonts w:ascii="Times New Roman" w:hAnsi="Times New Roman"/>
          <w:szCs w:val="22"/>
        </w:rPr>
        <w:t>669107 E Ft-ra módosult.</w:t>
      </w:r>
      <w:r w:rsidR="00855079">
        <w:rPr>
          <w:rFonts w:ascii="Times New Roman" w:hAnsi="Times New Roman"/>
          <w:szCs w:val="22"/>
        </w:rPr>
        <w:t xml:space="preserve"> Egész éven át folyamatosan figyelemmel kísértük az előirányzatok és kötelezettségvállalások előirányzatait. A költségvetés előirányzat módosításokat, illetve az </w:t>
      </w:r>
      <w:proofErr w:type="gramStart"/>
      <w:r w:rsidR="00855079">
        <w:rPr>
          <w:rFonts w:ascii="Times New Roman" w:hAnsi="Times New Roman"/>
          <w:szCs w:val="22"/>
        </w:rPr>
        <w:t>előirányzat  átcsoportosításokat</w:t>
      </w:r>
      <w:proofErr w:type="gramEnd"/>
      <w:r w:rsidR="00855079">
        <w:rPr>
          <w:rFonts w:ascii="Times New Roman" w:hAnsi="Times New Roman"/>
          <w:szCs w:val="22"/>
        </w:rPr>
        <w:t xml:space="preserve"> az előírtaknak megfelelően </w:t>
      </w:r>
      <w:proofErr w:type="gramStart"/>
      <w:r w:rsidR="00855079">
        <w:rPr>
          <w:rFonts w:ascii="Times New Roman" w:hAnsi="Times New Roman"/>
          <w:szCs w:val="22"/>
        </w:rPr>
        <w:t>benyújtottuk</w:t>
      </w:r>
      <w:proofErr w:type="gramEnd"/>
      <w:r w:rsidR="00855079">
        <w:rPr>
          <w:rFonts w:ascii="Times New Roman" w:hAnsi="Times New Roman"/>
          <w:szCs w:val="22"/>
        </w:rPr>
        <w:t xml:space="preserve"> a pénzügyi bizottságnak. a pénzügyi bizottság jóváhagyása után pedig a képviselő-testület elé terjesztettük. A pénzügyi teljesítések alakulásáról több esetben tájékoztatást nyújtottunk a képviselő-testület felé.</w:t>
      </w:r>
    </w:p>
    <w:p w:rsidR="00D0469D" w:rsidRDefault="00D0469D" w:rsidP="007B00A7">
      <w:pPr>
        <w:pStyle w:val="Default"/>
        <w:keepNext/>
        <w:spacing w:before="120"/>
        <w:jc w:val="both"/>
        <w:rPr>
          <w:rFonts w:ascii="Times New Roman" w:hAnsi="Times New Roman"/>
          <w:szCs w:val="22"/>
        </w:rPr>
      </w:pPr>
      <w:r w:rsidRPr="004A5A87">
        <w:rPr>
          <w:rFonts w:ascii="Times New Roman" w:hAnsi="Times New Roman"/>
          <w:szCs w:val="22"/>
        </w:rPr>
        <w:t xml:space="preserve">A pénzforgalmi mérleg szerint a költségvetés </w:t>
      </w:r>
      <w:r w:rsidR="005F716F" w:rsidRPr="004A5A87">
        <w:rPr>
          <w:rFonts w:ascii="Times New Roman" w:hAnsi="Times New Roman"/>
          <w:szCs w:val="22"/>
        </w:rPr>
        <w:t xml:space="preserve">bevételeinek </w:t>
      </w:r>
      <w:r w:rsidRPr="004A5A87">
        <w:rPr>
          <w:rFonts w:ascii="Times New Roman" w:hAnsi="Times New Roman"/>
          <w:szCs w:val="22"/>
        </w:rPr>
        <w:t xml:space="preserve">teljesítése </w:t>
      </w:r>
      <w:r w:rsidR="005F716F" w:rsidRPr="004A5A87">
        <w:rPr>
          <w:rFonts w:ascii="Times New Roman" w:hAnsi="Times New Roman"/>
          <w:szCs w:val="22"/>
        </w:rPr>
        <w:t xml:space="preserve">99,9 %-os, míg a kiadások teljesítése 87 %-os volt. Gazdálkodásunkat </w:t>
      </w:r>
      <w:r w:rsidR="002865F9">
        <w:rPr>
          <w:rFonts w:ascii="Times New Roman" w:hAnsi="Times New Roman"/>
          <w:szCs w:val="22"/>
        </w:rPr>
        <w:t xml:space="preserve">és </w:t>
      </w:r>
      <w:r w:rsidR="005F716F" w:rsidRPr="004A5A87">
        <w:rPr>
          <w:rFonts w:ascii="Times New Roman" w:hAnsi="Times New Roman"/>
          <w:szCs w:val="22"/>
        </w:rPr>
        <w:t xml:space="preserve">az év folyamán hozott döntéseket </w:t>
      </w:r>
      <w:r w:rsidR="00855079">
        <w:rPr>
          <w:rFonts w:ascii="Times New Roman" w:hAnsi="Times New Roman"/>
          <w:szCs w:val="22"/>
        </w:rPr>
        <w:t xml:space="preserve">elősegítette a bázis év takarékos gazdálkodásának eredménye, amely a költségvetési bevételek összegét 100947 E Ft maradvánnyal – mint belső finanszírozási bevétel - növelte. </w:t>
      </w:r>
    </w:p>
    <w:p w:rsidR="00855079" w:rsidRPr="004A5A87" w:rsidRDefault="0048609E" w:rsidP="007B00A7">
      <w:pPr>
        <w:pStyle w:val="Default"/>
        <w:keepNext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költségvetési előirányzatok és azok pénzügyi teljesítéséről bevételi és kiadási fő jogcímenként szeretnénk tájékoztatást nyújtani Önöknek.</w:t>
      </w:r>
    </w:p>
    <w:p w:rsidR="005F716F" w:rsidRDefault="00751320" w:rsidP="002865F9">
      <w:pPr>
        <w:pStyle w:val="Cmsor1"/>
        <w:pageBreakBefore/>
        <w:spacing w:after="600"/>
        <w:jc w:val="both"/>
      </w:pPr>
      <w:r>
        <w:lastRenderedPageBreak/>
        <w:t>3. Bevételek</w:t>
      </w:r>
    </w:p>
    <w:tbl>
      <w:tblPr>
        <w:tblStyle w:val="Rcsostblzat"/>
        <w:tblW w:w="0" w:type="auto"/>
        <w:tblLook w:val="04A0"/>
      </w:tblPr>
      <w:tblGrid>
        <w:gridCol w:w="4219"/>
        <w:gridCol w:w="2496"/>
        <w:gridCol w:w="2497"/>
      </w:tblGrid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jc w:val="center"/>
              <w:rPr>
                <w:rFonts w:ascii="Times New Roman" w:hAnsi="Times New Roman"/>
                <w:b/>
                <w:szCs w:val="22"/>
              </w:rPr>
            </w:pPr>
            <w:r w:rsidRPr="0048609E">
              <w:rPr>
                <w:rFonts w:ascii="Times New Roman" w:hAnsi="Times New Roman"/>
                <w:b/>
                <w:szCs w:val="22"/>
              </w:rPr>
              <w:t>Megnevezés</w:t>
            </w:r>
          </w:p>
        </w:tc>
        <w:tc>
          <w:tcPr>
            <w:tcW w:w="2496" w:type="dxa"/>
          </w:tcPr>
          <w:p w:rsidR="008641A8" w:rsidRPr="0048609E" w:rsidRDefault="008641A8" w:rsidP="0048609E">
            <w:pPr>
              <w:pStyle w:val="Default"/>
              <w:keepNext/>
              <w:jc w:val="center"/>
              <w:rPr>
                <w:rFonts w:ascii="Times New Roman" w:hAnsi="Times New Roman"/>
                <w:b/>
                <w:szCs w:val="22"/>
              </w:rPr>
            </w:pPr>
            <w:r w:rsidRPr="0048609E">
              <w:rPr>
                <w:rFonts w:ascii="Times New Roman" w:hAnsi="Times New Roman"/>
                <w:b/>
                <w:szCs w:val="22"/>
              </w:rPr>
              <w:t>Teljesítés (E Ft-ban)</w:t>
            </w:r>
          </w:p>
        </w:tc>
        <w:tc>
          <w:tcPr>
            <w:tcW w:w="2497" w:type="dxa"/>
          </w:tcPr>
          <w:p w:rsidR="008641A8" w:rsidRPr="0048609E" w:rsidRDefault="008641A8" w:rsidP="0048609E">
            <w:pPr>
              <w:pStyle w:val="Default"/>
              <w:keepNext/>
              <w:jc w:val="center"/>
              <w:rPr>
                <w:rFonts w:ascii="Times New Roman" w:hAnsi="Times New Roman"/>
                <w:b/>
                <w:szCs w:val="22"/>
              </w:rPr>
            </w:pPr>
            <w:r w:rsidRPr="0048609E">
              <w:rPr>
                <w:rFonts w:ascii="Times New Roman" w:hAnsi="Times New Roman"/>
                <w:b/>
                <w:szCs w:val="22"/>
              </w:rPr>
              <w:t>Bevételek aránya (%)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>Önkormányzatok működési támogatása</w:t>
            </w:r>
          </w:p>
        </w:tc>
        <w:tc>
          <w:tcPr>
            <w:tcW w:w="2496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181609</w:t>
            </w:r>
          </w:p>
        </w:tc>
        <w:tc>
          <w:tcPr>
            <w:tcW w:w="2497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27,1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 xml:space="preserve">Működési célú </w:t>
            </w:r>
            <w:proofErr w:type="gramStart"/>
            <w:r w:rsidRPr="0048609E">
              <w:rPr>
                <w:rFonts w:ascii="Times New Roman" w:hAnsi="Times New Roman"/>
                <w:i/>
                <w:szCs w:val="22"/>
              </w:rPr>
              <w:t>támogatások</w:t>
            </w:r>
            <w:proofErr w:type="gramEnd"/>
            <w:r w:rsidRPr="0048609E">
              <w:rPr>
                <w:rFonts w:ascii="Times New Roman" w:hAnsi="Times New Roman"/>
                <w:i/>
                <w:szCs w:val="22"/>
              </w:rPr>
              <w:t xml:space="preserve"> ÁH. belülről</w:t>
            </w:r>
          </w:p>
        </w:tc>
        <w:tc>
          <w:tcPr>
            <w:tcW w:w="2496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12879</w:t>
            </w:r>
          </w:p>
        </w:tc>
        <w:tc>
          <w:tcPr>
            <w:tcW w:w="2497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1,9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 xml:space="preserve">Felhalmozási </w:t>
            </w:r>
            <w:proofErr w:type="gramStart"/>
            <w:r w:rsidRPr="0048609E">
              <w:rPr>
                <w:rFonts w:ascii="Times New Roman" w:hAnsi="Times New Roman"/>
                <w:i/>
                <w:szCs w:val="22"/>
              </w:rPr>
              <w:t>támogatások</w:t>
            </w:r>
            <w:proofErr w:type="gramEnd"/>
            <w:r w:rsidRPr="0048609E">
              <w:rPr>
                <w:rFonts w:ascii="Times New Roman" w:hAnsi="Times New Roman"/>
                <w:i/>
                <w:szCs w:val="22"/>
              </w:rPr>
              <w:t xml:space="preserve"> ÁH. belülről</w:t>
            </w:r>
          </w:p>
        </w:tc>
        <w:tc>
          <w:tcPr>
            <w:tcW w:w="2496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76144</w:t>
            </w:r>
          </w:p>
        </w:tc>
        <w:tc>
          <w:tcPr>
            <w:tcW w:w="2497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11,4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>Közhatalmi bevételek</w:t>
            </w:r>
          </w:p>
        </w:tc>
        <w:tc>
          <w:tcPr>
            <w:tcW w:w="2496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257878</w:t>
            </w:r>
          </w:p>
        </w:tc>
        <w:tc>
          <w:tcPr>
            <w:tcW w:w="2497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38,5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>Működési bevételek</w:t>
            </w:r>
          </w:p>
        </w:tc>
        <w:tc>
          <w:tcPr>
            <w:tcW w:w="2496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29961</w:t>
            </w:r>
          </w:p>
        </w:tc>
        <w:tc>
          <w:tcPr>
            <w:tcW w:w="2497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4,5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 xml:space="preserve">Működési célú pénzeszköz </w:t>
            </w:r>
            <w:proofErr w:type="gramStart"/>
            <w:r w:rsidRPr="0048609E">
              <w:rPr>
                <w:rFonts w:ascii="Times New Roman" w:hAnsi="Times New Roman"/>
                <w:i/>
                <w:szCs w:val="22"/>
              </w:rPr>
              <w:t>átvétel</w:t>
            </w:r>
            <w:proofErr w:type="gramEnd"/>
            <w:r w:rsidRPr="0048609E">
              <w:rPr>
                <w:rFonts w:ascii="Times New Roman" w:hAnsi="Times New Roman"/>
                <w:i/>
                <w:szCs w:val="22"/>
              </w:rPr>
              <w:t xml:space="preserve"> ÁH. kívülről</w:t>
            </w:r>
          </w:p>
        </w:tc>
        <w:tc>
          <w:tcPr>
            <w:tcW w:w="2496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2675</w:t>
            </w:r>
          </w:p>
        </w:tc>
        <w:tc>
          <w:tcPr>
            <w:tcW w:w="2497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0,5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8641A8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 xml:space="preserve">Felhalmozási pénzeszköz </w:t>
            </w:r>
            <w:proofErr w:type="gramStart"/>
            <w:r w:rsidRPr="0048609E">
              <w:rPr>
                <w:rFonts w:ascii="Times New Roman" w:hAnsi="Times New Roman"/>
                <w:i/>
                <w:szCs w:val="22"/>
              </w:rPr>
              <w:t>átvétel</w:t>
            </w:r>
            <w:proofErr w:type="gramEnd"/>
            <w:r w:rsidRPr="0048609E">
              <w:rPr>
                <w:rFonts w:ascii="Times New Roman" w:hAnsi="Times New Roman"/>
                <w:i/>
                <w:szCs w:val="22"/>
              </w:rPr>
              <w:t xml:space="preserve"> ÁH. kívülről</w:t>
            </w:r>
          </w:p>
        </w:tc>
        <w:tc>
          <w:tcPr>
            <w:tcW w:w="2496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1109</w:t>
            </w:r>
          </w:p>
        </w:tc>
        <w:tc>
          <w:tcPr>
            <w:tcW w:w="2497" w:type="dxa"/>
          </w:tcPr>
          <w:p w:rsidR="008641A8" w:rsidRDefault="008641A8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0,2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751320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>Államháztartáson belüli megelőlegezés</w:t>
            </w:r>
          </w:p>
        </w:tc>
        <w:tc>
          <w:tcPr>
            <w:tcW w:w="2496" w:type="dxa"/>
          </w:tcPr>
          <w:p w:rsidR="008641A8" w:rsidRDefault="00751320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5589</w:t>
            </w:r>
          </w:p>
        </w:tc>
        <w:tc>
          <w:tcPr>
            <w:tcW w:w="2497" w:type="dxa"/>
          </w:tcPr>
          <w:p w:rsidR="008641A8" w:rsidRDefault="00751320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</w:t>
            </w:r>
          </w:p>
        </w:tc>
      </w:tr>
      <w:tr w:rsidR="008641A8" w:rsidTr="00B72F8B">
        <w:tc>
          <w:tcPr>
            <w:tcW w:w="4219" w:type="dxa"/>
          </w:tcPr>
          <w:p w:rsidR="008641A8" w:rsidRPr="0048609E" w:rsidRDefault="00751320" w:rsidP="0048609E">
            <w:pPr>
              <w:pStyle w:val="Default"/>
              <w:keepNext/>
              <w:rPr>
                <w:rFonts w:ascii="Times New Roman" w:hAnsi="Times New Roman"/>
                <w:i/>
                <w:szCs w:val="22"/>
              </w:rPr>
            </w:pPr>
            <w:r w:rsidRPr="0048609E">
              <w:rPr>
                <w:rFonts w:ascii="Times New Roman" w:hAnsi="Times New Roman"/>
                <w:i/>
                <w:szCs w:val="22"/>
              </w:rPr>
              <w:t>Előző évi maradvány</w:t>
            </w:r>
          </w:p>
        </w:tc>
        <w:tc>
          <w:tcPr>
            <w:tcW w:w="2496" w:type="dxa"/>
          </w:tcPr>
          <w:p w:rsidR="008641A8" w:rsidRDefault="00751320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100947</w:t>
            </w:r>
          </w:p>
        </w:tc>
        <w:tc>
          <w:tcPr>
            <w:tcW w:w="2497" w:type="dxa"/>
          </w:tcPr>
          <w:p w:rsidR="008641A8" w:rsidRDefault="00751320" w:rsidP="0048609E">
            <w:pPr>
              <w:pStyle w:val="Default"/>
              <w:keepNext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15,1</w:t>
            </w:r>
          </w:p>
        </w:tc>
      </w:tr>
    </w:tbl>
    <w:p w:rsidR="00904DF9" w:rsidRDefault="00904DF9" w:rsidP="002865F9">
      <w:pPr>
        <w:pStyle w:val="Default"/>
        <w:keepNext/>
        <w:tabs>
          <w:tab w:val="right" w:pos="6096"/>
          <w:tab w:val="right" w:pos="8080"/>
        </w:tabs>
        <w:spacing w:before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904DF9">
        <w:rPr>
          <w:rFonts w:ascii="Times New Roman" w:hAnsi="Times New Roman"/>
          <w:szCs w:val="22"/>
        </w:rPr>
        <w:t>z önkormányzat feladatait 201</w:t>
      </w:r>
      <w:r>
        <w:rPr>
          <w:rFonts w:ascii="Times New Roman" w:hAnsi="Times New Roman"/>
          <w:szCs w:val="22"/>
        </w:rPr>
        <w:t>5</w:t>
      </w:r>
      <w:r w:rsidRPr="00904DF9">
        <w:rPr>
          <w:rFonts w:ascii="Times New Roman" w:hAnsi="Times New Roman"/>
          <w:szCs w:val="22"/>
        </w:rPr>
        <w:t>. évben is nagyrészt a helyi adó bevételekből és állami támogatásból finanszíroztuk, annak ellenére, hogy önkormányzati forrásszabályozás</w:t>
      </w:r>
      <w:r>
        <w:rPr>
          <w:rFonts w:ascii="Times New Roman" w:hAnsi="Times New Roman"/>
          <w:szCs w:val="22"/>
        </w:rPr>
        <w:t xml:space="preserve">a </w:t>
      </w:r>
      <w:r w:rsidRPr="00904DF9">
        <w:rPr>
          <w:rFonts w:ascii="Times New Roman" w:hAnsi="Times New Roman"/>
          <w:szCs w:val="22"/>
        </w:rPr>
        <w:t>miatt jelentősen csökkent az önkormányzat központi költségvetésből való részesedése.</w:t>
      </w:r>
      <w:r w:rsidR="00751320">
        <w:rPr>
          <w:rFonts w:ascii="Times New Roman" w:hAnsi="Times New Roman"/>
          <w:szCs w:val="22"/>
        </w:rPr>
        <w:t xml:space="preserve"> </w:t>
      </w:r>
      <w:r w:rsidR="00751320" w:rsidRPr="00751320">
        <w:rPr>
          <w:rFonts w:ascii="Times New Roman" w:hAnsi="Times New Roman"/>
          <w:szCs w:val="22"/>
        </w:rPr>
        <w:t>Az önkormányzat által kötelezően ellátandó feladatok működési kiadásait az Országgyűlés feladatalapú támogatással biztosítja.</w:t>
      </w:r>
      <w:r w:rsidR="0048609E">
        <w:rPr>
          <w:rFonts w:ascii="Times New Roman" w:hAnsi="Times New Roman"/>
          <w:szCs w:val="22"/>
        </w:rPr>
        <w:t xml:space="preserve"> A támogatással nem biztosított feladatok ellátása az önkormányzat saját bevételeinek terhére történt.</w:t>
      </w:r>
      <w:r w:rsidR="00751320" w:rsidRPr="00751320">
        <w:rPr>
          <w:rFonts w:ascii="Times New Roman" w:hAnsi="Times New Roman"/>
          <w:szCs w:val="22"/>
        </w:rPr>
        <w:t xml:space="preserve"> Ezt a támogatást a helyi önkormányzat kizárólag a kötelezően ellátandó feladatainak kiadásaira fordíthatja.</w:t>
      </w:r>
      <w:r w:rsidR="00751320">
        <w:rPr>
          <w:rFonts w:ascii="Times New Roman" w:hAnsi="Times New Roman"/>
          <w:szCs w:val="22"/>
        </w:rPr>
        <w:t xml:space="preserve"> Az iparűzési adó növekedése miatt az önkormányzatot magasabb összegű beszámítás terheli, amely összegével az általános feladatok ellátására számított támogatás</w:t>
      </w:r>
      <w:r w:rsidR="00B72F8B">
        <w:rPr>
          <w:rFonts w:ascii="Times New Roman" w:hAnsi="Times New Roman"/>
          <w:szCs w:val="22"/>
        </w:rPr>
        <w:t xml:space="preserve"> összege</w:t>
      </w:r>
      <w:r w:rsidR="00751320">
        <w:rPr>
          <w:rFonts w:ascii="Times New Roman" w:hAnsi="Times New Roman"/>
          <w:szCs w:val="22"/>
        </w:rPr>
        <w:t xml:space="preserve"> csökken. A </w:t>
      </w:r>
      <w:r w:rsidR="00B72F8B">
        <w:rPr>
          <w:rFonts w:ascii="Times New Roman" w:hAnsi="Times New Roman"/>
          <w:szCs w:val="22"/>
        </w:rPr>
        <w:t>támogatás csökkenés ellenére</w:t>
      </w:r>
      <w:r w:rsidR="00751320">
        <w:rPr>
          <w:rFonts w:ascii="Times New Roman" w:hAnsi="Times New Roman"/>
          <w:szCs w:val="22"/>
        </w:rPr>
        <w:t xml:space="preserve"> a feladatellátás színvonala az előző évekhez képest nem változott.</w:t>
      </w:r>
    </w:p>
    <w:p w:rsidR="00B72F8B" w:rsidRDefault="00506F79" w:rsidP="007B00A7">
      <w:pPr>
        <w:pStyle w:val="Default"/>
        <w:keepNext/>
        <w:tabs>
          <w:tab w:val="right" w:pos="6096"/>
          <w:tab w:val="right" w:pos="8080"/>
        </w:tabs>
        <w:spacing w:before="120"/>
        <w:jc w:val="both"/>
        <w:rPr>
          <w:rFonts w:ascii="Times New Roman" w:hAnsi="Times New Roman"/>
          <w:szCs w:val="22"/>
        </w:rPr>
      </w:pPr>
      <w:r w:rsidRPr="00506F79">
        <w:rPr>
          <w:rFonts w:ascii="Times New Roman" w:hAnsi="Times New Roman"/>
          <w:szCs w:val="22"/>
        </w:rPr>
        <w:t xml:space="preserve">Kiegészítő </w:t>
      </w:r>
      <w:proofErr w:type="gramStart"/>
      <w:r w:rsidRPr="00506F79">
        <w:rPr>
          <w:rFonts w:ascii="Times New Roman" w:hAnsi="Times New Roman"/>
          <w:szCs w:val="22"/>
        </w:rPr>
        <w:t xml:space="preserve">támogatásokra </w:t>
      </w:r>
      <w:r w:rsidR="00751320">
        <w:rPr>
          <w:rFonts w:ascii="Times New Roman" w:hAnsi="Times New Roman"/>
          <w:szCs w:val="22"/>
        </w:rPr>
        <w:t xml:space="preserve"> 4077</w:t>
      </w:r>
      <w:proofErr w:type="gramEnd"/>
      <w:r w:rsidR="00751320">
        <w:rPr>
          <w:rFonts w:ascii="Times New Roman" w:hAnsi="Times New Roman"/>
          <w:szCs w:val="22"/>
        </w:rPr>
        <w:t xml:space="preserve"> </w:t>
      </w:r>
      <w:r w:rsidR="00855079">
        <w:rPr>
          <w:rFonts w:ascii="Times New Roman" w:hAnsi="Times New Roman"/>
          <w:szCs w:val="22"/>
        </w:rPr>
        <w:t>E Ft</w:t>
      </w:r>
      <w:r w:rsidRPr="00506F79">
        <w:rPr>
          <w:rFonts w:ascii="Times New Roman" w:hAnsi="Times New Roman"/>
          <w:szCs w:val="22"/>
        </w:rPr>
        <w:t xml:space="preserve"> érkezett az önkormányzat számlájára, </w:t>
      </w:r>
      <w:r w:rsidR="00751320">
        <w:rPr>
          <w:rFonts w:ascii="Times New Roman" w:hAnsi="Times New Roman"/>
          <w:szCs w:val="22"/>
        </w:rPr>
        <w:t>amely támogatást</w:t>
      </w:r>
      <w:r w:rsidRPr="00506F79">
        <w:rPr>
          <w:rFonts w:ascii="Times New Roman" w:hAnsi="Times New Roman"/>
          <w:szCs w:val="22"/>
        </w:rPr>
        <w:t xml:space="preserve"> a dolgozók bérkompenzációjára, </w:t>
      </w:r>
      <w:r>
        <w:rPr>
          <w:rFonts w:ascii="Times New Roman" w:hAnsi="Times New Roman"/>
          <w:szCs w:val="22"/>
        </w:rPr>
        <w:t>nyári gyermekétkeztetésre, óvodáztatási támogatásra</w:t>
      </w:r>
      <w:r w:rsidR="00751320">
        <w:rPr>
          <w:rFonts w:ascii="Times New Roman" w:hAnsi="Times New Roman"/>
          <w:szCs w:val="22"/>
        </w:rPr>
        <w:t xml:space="preserve"> és szociális ellátásokra használtunk fel</w:t>
      </w:r>
      <w:r>
        <w:rPr>
          <w:rFonts w:ascii="Times New Roman" w:hAnsi="Times New Roman"/>
          <w:szCs w:val="22"/>
        </w:rPr>
        <w:t>.</w:t>
      </w:r>
      <w:r w:rsidR="00751320">
        <w:rPr>
          <w:rFonts w:ascii="Times New Roman" w:hAnsi="Times New Roman"/>
          <w:szCs w:val="22"/>
        </w:rPr>
        <w:t xml:space="preserve"> </w:t>
      </w:r>
    </w:p>
    <w:p w:rsidR="00506F79" w:rsidRDefault="00751320" w:rsidP="002865F9">
      <w:pPr>
        <w:pStyle w:val="Default"/>
        <w:keepNext/>
        <w:tabs>
          <w:tab w:val="right" w:pos="6096"/>
          <w:tab w:val="right" w:pos="808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2014 évi beszámoló készítésekor mutatószámok alapján 956 </w:t>
      </w:r>
      <w:r w:rsidR="00855079">
        <w:rPr>
          <w:rFonts w:ascii="Times New Roman" w:hAnsi="Times New Roman"/>
          <w:szCs w:val="22"/>
        </w:rPr>
        <w:t>E Ft</w:t>
      </w:r>
      <w:r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>többlet támogatást</w:t>
      </w:r>
      <w:proofErr w:type="gramEnd"/>
      <w:r>
        <w:rPr>
          <w:rFonts w:ascii="Times New Roman" w:hAnsi="Times New Roman"/>
          <w:szCs w:val="22"/>
        </w:rPr>
        <w:t xml:space="preserve"> igényeltünk, amely jóváhagyása és kiutalása a 2015 évben megtörtént.</w:t>
      </w:r>
    </w:p>
    <w:p w:rsidR="00506F79" w:rsidRDefault="00751320" w:rsidP="007B00A7">
      <w:pPr>
        <w:pStyle w:val="Default"/>
        <w:keepNext/>
        <w:tabs>
          <w:tab w:val="right" w:pos="6096"/>
          <w:tab w:val="right" w:pos="8080"/>
        </w:tabs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Közhatalmi bevételeink </w:t>
      </w:r>
      <w:r w:rsidR="00B72F8B">
        <w:rPr>
          <w:rFonts w:ascii="Times New Roman" w:hAnsi="Times New Roman"/>
          <w:szCs w:val="22"/>
        </w:rPr>
        <w:t>összege már meghaladja a központi támogatások összegét, és ez jelentősen megkönnyíti</w:t>
      </w:r>
      <w:r>
        <w:rPr>
          <w:rFonts w:ascii="Times New Roman" w:hAnsi="Times New Roman"/>
          <w:szCs w:val="22"/>
        </w:rPr>
        <w:t xml:space="preserve"> az önkormányzat célkitűzése</w:t>
      </w:r>
      <w:r w:rsidR="00B72F8B">
        <w:rPr>
          <w:rFonts w:ascii="Times New Roman" w:hAnsi="Times New Roman"/>
          <w:szCs w:val="22"/>
        </w:rPr>
        <w:t>ine</w:t>
      </w:r>
      <w:r>
        <w:rPr>
          <w:rFonts w:ascii="Times New Roman" w:hAnsi="Times New Roman"/>
          <w:szCs w:val="22"/>
        </w:rPr>
        <w:t xml:space="preserve">k elérését. </w:t>
      </w:r>
      <w:r w:rsidR="00506F79" w:rsidRPr="00506F79">
        <w:rPr>
          <w:rFonts w:ascii="Times New Roman" w:hAnsi="Times New Roman"/>
          <w:szCs w:val="22"/>
        </w:rPr>
        <w:t xml:space="preserve">A helyi adó bevétel módosított előirányzata </w:t>
      </w:r>
      <w:r w:rsidR="00506F79">
        <w:rPr>
          <w:rFonts w:ascii="Times New Roman" w:hAnsi="Times New Roman"/>
          <w:szCs w:val="22"/>
        </w:rPr>
        <w:t>257932</w:t>
      </w:r>
      <w:r w:rsidR="00506F79" w:rsidRPr="00506F79">
        <w:rPr>
          <w:rFonts w:ascii="Times New Roman" w:hAnsi="Times New Roman"/>
          <w:szCs w:val="22"/>
        </w:rPr>
        <w:t xml:space="preserve"> </w:t>
      </w:r>
      <w:r w:rsidR="00855079">
        <w:rPr>
          <w:rFonts w:ascii="Times New Roman" w:hAnsi="Times New Roman"/>
          <w:szCs w:val="22"/>
        </w:rPr>
        <w:t>E Ft</w:t>
      </w:r>
      <w:r w:rsidR="00506F79" w:rsidRPr="00506F79">
        <w:rPr>
          <w:rFonts w:ascii="Times New Roman" w:hAnsi="Times New Roman"/>
          <w:szCs w:val="22"/>
        </w:rPr>
        <w:t xml:space="preserve">, a teljesítés </w:t>
      </w:r>
      <w:r w:rsidR="00506F79">
        <w:rPr>
          <w:rFonts w:ascii="Times New Roman" w:hAnsi="Times New Roman"/>
          <w:szCs w:val="22"/>
        </w:rPr>
        <w:t>257878</w:t>
      </w:r>
      <w:r w:rsidR="00506F79" w:rsidRPr="00506F79">
        <w:rPr>
          <w:rFonts w:ascii="Times New Roman" w:hAnsi="Times New Roman"/>
          <w:szCs w:val="22"/>
        </w:rPr>
        <w:t xml:space="preserve"> </w:t>
      </w:r>
      <w:r w:rsidR="00855079">
        <w:rPr>
          <w:rFonts w:ascii="Times New Roman" w:hAnsi="Times New Roman"/>
          <w:szCs w:val="22"/>
        </w:rPr>
        <w:t>E Ft</w:t>
      </w:r>
      <w:r w:rsidR="00506F79" w:rsidRPr="00506F79">
        <w:rPr>
          <w:rFonts w:ascii="Times New Roman" w:hAnsi="Times New Roman"/>
          <w:szCs w:val="22"/>
        </w:rPr>
        <w:t xml:space="preserve">, a pénzügyi teljesítés </w:t>
      </w:r>
      <w:r w:rsidR="00506F79">
        <w:rPr>
          <w:rFonts w:ascii="Times New Roman" w:hAnsi="Times New Roman"/>
          <w:szCs w:val="22"/>
        </w:rPr>
        <w:t xml:space="preserve">99 </w:t>
      </w:r>
      <w:r w:rsidR="00506F79" w:rsidRPr="00506F79">
        <w:rPr>
          <w:rFonts w:ascii="Times New Roman" w:hAnsi="Times New Roman"/>
          <w:szCs w:val="22"/>
        </w:rPr>
        <w:t xml:space="preserve">%, amely eredmény </w:t>
      </w:r>
      <w:r w:rsidR="00506F79">
        <w:rPr>
          <w:rFonts w:ascii="Times New Roman" w:hAnsi="Times New Roman"/>
          <w:szCs w:val="22"/>
        </w:rPr>
        <w:t xml:space="preserve">nagyon </w:t>
      </w:r>
      <w:r w:rsidR="00506F79" w:rsidRPr="00506F79">
        <w:rPr>
          <w:rFonts w:ascii="Times New Roman" w:hAnsi="Times New Roman"/>
          <w:szCs w:val="22"/>
        </w:rPr>
        <w:t>jónak ítélhető</w:t>
      </w:r>
      <w:r w:rsidR="00506F79">
        <w:rPr>
          <w:rFonts w:ascii="Times New Roman" w:hAnsi="Times New Roman"/>
          <w:szCs w:val="22"/>
        </w:rPr>
        <w:t>.</w:t>
      </w:r>
      <w:r w:rsidR="00653C8E">
        <w:rPr>
          <w:rFonts w:ascii="Times New Roman" w:hAnsi="Times New Roman"/>
          <w:szCs w:val="22"/>
        </w:rPr>
        <w:t xml:space="preserve"> E jogcímen belül legkiemelkedőbb forrásunk</w:t>
      </w:r>
      <w:r>
        <w:rPr>
          <w:rFonts w:ascii="Times New Roman" w:hAnsi="Times New Roman"/>
          <w:szCs w:val="22"/>
        </w:rPr>
        <w:t xml:space="preserve"> </w:t>
      </w:r>
      <w:r w:rsidR="00653C8E">
        <w:rPr>
          <w:rFonts w:ascii="Times New Roman" w:hAnsi="Times New Roman"/>
          <w:szCs w:val="22"/>
        </w:rPr>
        <w:t xml:space="preserve">az iparűzési adó. </w:t>
      </w:r>
      <w:r w:rsidR="00506F79">
        <w:rPr>
          <w:rFonts w:ascii="Times New Roman" w:hAnsi="Times New Roman"/>
          <w:szCs w:val="22"/>
        </w:rPr>
        <w:t>Az iparűzési adó teljesítése 219857 E Ft, amely a</w:t>
      </w:r>
      <w:r w:rsidR="00506F79" w:rsidRPr="00506F79">
        <w:rPr>
          <w:rFonts w:ascii="Times New Roman" w:hAnsi="Times New Roman"/>
          <w:szCs w:val="22"/>
        </w:rPr>
        <w:t xml:space="preserve"> bázisévhez viszonyítva </w:t>
      </w:r>
      <w:r w:rsidR="00506F79">
        <w:rPr>
          <w:rFonts w:ascii="Times New Roman" w:hAnsi="Times New Roman"/>
          <w:szCs w:val="22"/>
        </w:rPr>
        <w:t>35614</w:t>
      </w:r>
      <w:r w:rsidR="00506F79" w:rsidRPr="00506F79">
        <w:rPr>
          <w:rFonts w:ascii="Times New Roman" w:hAnsi="Times New Roman"/>
          <w:szCs w:val="22"/>
        </w:rPr>
        <w:t xml:space="preserve"> </w:t>
      </w:r>
      <w:r w:rsidR="00855079">
        <w:rPr>
          <w:rFonts w:ascii="Times New Roman" w:hAnsi="Times New Roman"/>
          <w:szCs w:val="22"/>
        </w:rPr>
        <w:t>E Ft</w:t>
      </w:r>
      <w:r w:rsidR="00506F79" w:rsidRPr="00506F79">
        <w:rPr>
          <w:rFonts w:ascii="Times New Roman" w:hAnsi="Times New Roman"/>
          <w:szCs w:val="22"/>
        </w:rPr>
        <w:t xml:space="preserve"> több</w:t>
      </w:r>
      <w:r w:rsidR="00653C8E">
        <w:rPr>
          <w:rFonts w:ascii="Times New Roman" w:hAnsi="Times New Roman"/>
          <w:szCs w:val="22"/>
        </w:rPr>
        <w:t>letet jelent önkormányzatunknak</w:t>
      </w:r>
      <w:r w:rsidR="00506F79" w:rsidRPr="00506F79">
        <w:rPr>
          <w:rFonts w:ascii="Times New Roman" w:hAnsi="Times New Roman"/>
          <w:szCs w:val="22"/>
        </w:rPr>
        <w:t>.</w:t>
      </w:r>
      <w:r w:rsidR="00B72F8B">
        <w:rPr>
          <w:rFonts w:ascii="Times New Roman" w:hAnsi="Times New Roman"/>
          <w:szCs w:val="22"/>
        </w:rPr>
        <w:t xml:space="preserve"> </w:t>
      </w:r>
      <w:r w:rsidR="00506F79" w:rsidRPr="00506F79">
        <w:rPr>
          <w:rFonts w:ascii="Times New Roman" w:hAnsi="Times New Roman"/>
          <w:szCs w:val="22"/>
        </w:rPr>
        <w:t xml:space="preserve">A </w:t>
      </w:r>
      <w:r w:rsidR="00653C8E">
        <w:rPr>
          <w:rFonts w:ascii="Times New Roman" w:hAnsi="Times New Roman"/>
          <w:szCs w:val="22"/>
        </w:rPr>
        <w:t>bevétel növekmény</w:t>
      </w:r>
      <w:r w:rsidR="00506F79" w:rsidRPr="00506F79">
        <w:rPr>
          <w:rFonts w:ascii="Times New Roman" w:hAnsi="Times New Roman"/>
          <w:szCs w:val="22"/>
        </w:rPr>
        <w:t xml:space="preserve"> is jól mutatja, hogy 201</w:t>
      </w:r>
      <w:r w:rsidR="00506F79">
        <w:rPr>
          <w:rFonts w:ascii="Times New Roman" w:hAnsi="Times New Roman"/>
          <w:szCs w:val="22"/>
        </w:rPr>
        <w:t>5</w:t>
      </w:r>
      <w:r w:rsidR="00506F79" w:rsidRPr="00506F79">
        <w:rPr>
          <w:rFonts w:ascii="Times New Roman" w:hAnsi="Times New Roman"/>
          <w:szCs w:val="22"/>
        </w:rPr>
        <w:t xml:space="preserve">. évben a </w:t>
      </w:r>
      <w:r w:rsidR="00506F79">
        <w:rPr>
          <w:rFonts w:ascii="Times New Roman" w:hAnsi="Times New Roman"/>
          <w:szCs w:val="22"/>
        </w:rPr>
        <w:t>városunkban működő</w:t>
      </w:r>
      <w:r w:rsidR="00506F79" w:rsidRPr="00506F79">
        <w:rPr>
          <w:rFonts w:ascii="Times New Roman" w:hAnsi="Times New Roman"/>
          <w:szCs w:val="22"/>
        </w:rPr>
        <w:t xml:space="preserve"> vállalkozók, vállalkozások erősödtek, stabilan és jól teljesítettek</w:t>
      </w:r>
      <w:r w:rsidR="00506F79">
        <w:rPr>
          <w:rFonts w:ascii="Times New Roman" w:hAnsi="Times New Roman"/>
          <w:szCs w:val="22"/>
        </w:rPr>
        <w:t>.</w:t>
      </w:r>
    </w:p>
    <w:p w:rsidR="00653C8E" w:rsidRDefault="00653C8E" w:rsidP="002865F9">
      <w:pPr>
        <w:pStyle w:val="Default"/>
        <w:keepNext/>
        <w:tabs>
          <w:tab w:val="right" w:pos="6096"/>
          <w:tab w:val="right" w:pos="808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Az önkormányzat által kivetett más adók teljesítési adatai is megfelelőek, melyeket a rendelet 1. számú melléklete részletesen tartalmazza.</w:t>
      </w:r>
    </w:p>
    <w:p w:rsidR="00653C8E" w:rsidRPr="00653C8E" w:rsidRDefault="00653C8E" w:rsidP="007B00A7">
      <w:pPr>
        <w:pStyle w:val="Default"/>
        <w:keepNext/>
        <w:tabs>
          <w:tab w:val="right" w:pos="6096"/>
          <w:tab w:val="right" w:pos="8080"/>
        </w:tabs>
        <w:spacing w:before="120"/>
        <w:jc w:val="both"/>
        <w:rPr>
          <w:rFonts w:ascii="Times New Roman" w:hAnsi="Times New Roman"/>
          <w:szCs w:val="22"/>
        </w:rPr>
      </w:pPr>
      <w:r w:rsidRPr="00653C8E">
        <w:rPr>
          <w:rFonts w:ascii="Times New Roman" w:hAnsi="Times New Roman"/>
          <w:szCs w:val="22"/>
        </w:rPr>
        <w:t xml:space="preserve">A működési bevételek előirányzata </w:t>
      </w:r>
      <w:r>
        <w:rPr>
          <w:rFonts w:ascii="Times New Roman" w:hAnsi="Times New Roman"/>
          <w:szCs w:val="22"/>
        </w:rPr>
        <w:t>98</w:t>
      </w:r>
      <w:r w:rsidRPr="00653C8E">
        <w:rPr>
          <w:rFonts w:ascii="Times New Roman" w:hAnsi="Times New Roman"/>
          <w:szCs w:val="22"/>
        </w:rPr>
        <w:t xml:space="preserve"> %-ra teljesült, melynek nagy hányada a bérleti</w:t>
      </w:r>
      <w:r w:rsidR="00B72F8B">
        <w:rPr>
          <w:rFonts w:ascii="Times New Roman" w:hAnsi="Times New Roman"/>
          <w:szCs w:val="22"/>
        </w:rPr>
        <w:t xml:space="preserve"> díjakbó</w:t>
      </w:r>
      <w:r w:rsidRPr="00653C8E">
        <w:rPr>
          <w:rFonts w:ascii="Times New Roman" w:hAnsi="Times New Roman"/>
          <w:szCs w:val="22"/>
        </w:rPr>
        <w:t xml:space="preserve">l, </w:t>
      </w:r>
      <w:r>
        <w:rPr>
          <w:rFonts w:ascii="Times New Roman" w:hAnsi="Times New Roman"/>
          <w:szCs w:val="22"/>
        </w:rPr>
        <w:t xml:space="preserve">ellátási díjakból, </w:t>
      </w:r>
      <w:r w:rsidR="00B72F8B">
        <w:rPr>
          <w:rFonts w:ascii="Times New Roman" w:hAnsi="Times New Roman"/>
          <w:szCs w:val="22"/>
        </w:rPr>
        <w:t>vagyonkezelési díjakból,</w:t>
      </w:r>
      <w:r w:rsidRPr="00653C8E">
        <w:rPr>
          <w:rFonts w:ascii="Times New Roman" w:hAnsi="Times New Roman"/>
          <w:szCs w:val="22"/>
        </w:rPr>
        <w:t xml:space="preserve"> az általános forgalmi adó </w:t>
      </w:r>
      <w:r>
        <w:rPr>
          <w:rFonts w:ascii="Times New Roman" w:hAnsi="Times New Roman"/>
          <w:szCs w:val="22"/>
        </w:rPr>
        <w:t>visszatérítéséből és kamat bevételből származik.</w:t>
      </w:r>
    </w:p>
    <w:p w:rsidR="00653C8E" w:rsidRDefault="00653C8E" w:rsidP="007B00A7">
      <w:pPr>
        <w:pStyle w:val="Default"/>
        <w:keepNext/>
        <w:tabs>
          <w:tab w:val="right" w:pos="6096"/>
          <w:tab w:val="right" w:pos="8080"/>
        </w:tabs>
        <w:spacing w:before="120"/>
        <w:jc w:val="both"/>
        <w:rPr>
          <w:rFonts w:ascii="Times New Roman" w:hAnsi="Times New Roman"/>
          <w:szCs w:val="22"/>
        </w:rPr>
      </w:pPr>
      <w:r w:rsidRPr="00653C8E">
        <w:rPr>
          <w:rFonts w:ascii="Times New Roman" w:hAnsi="Times New Roman"/>
          <w:szCs w:val="22"/>
        </w:rPr>
        <w:t xml:space="preserve">Az átvett pénzeszközök </w:t>
      </w:r>
      <w:r>
        <w:rPr>
          <w:rFonts w:ascii="Times New Roman" w:hAnsi="Times New Roman"/>
          <w:szCs w:val="22"/>
        </w:rPr>
        <w:t>100</w:t>
      </w:r>
      <w:r w:rsidRPr="00653C8E">
        <w:rPr>
          <w:rFonts w:ascii="Times New Roman" w:hAnsi="Times New Roman"/>
          <w:szCs w:val="22"/>
        </w:rPr>
        <w:t xml:space="preserve"> %-</w:t>
      </w:r>
      <w:r>
        <w:rPr>
          <w:rFonts w:ascii="Times New Roman" w:hAnsi="Times New Roman"/>
          <w:szCs w:val="22"/>
        </w:rPr>
        <w:t>ban</w:t>
      </w:r>
      <w:r w:rsidRPr="00653C8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teljesültek, amelyek a közfoglalkoztatást és egyéb egészségügyi szolgáltatások </w:t>
      </w:r>
      <w:r w:rsidR="004367EF">
        <w:rPr>
          <w:rFonts w:ascii="Times New Roman" w:hAnsi="Times New Roman"/>
          <w:szCs w:val="22"/>
        </w:rPr>
        <w:t xml:space="preserve">(védőnői feladatok) </w:t>
      </w:r>
      <w:r>
        <w:rPr>
          <w:rFonts w:ascii="Times New Roman" w:hAnsi="Times New Roman"/>
          <w:szCs w:val="22"/>
        </w:rPr>
        <w:t>ellátását fedezi.</w:t>
      </w:r>
      <w:r w:rsidR="00B72F8B">
        <w:rPr>
          <w:rFonts w:ascii="Times New Roman" w:hAnsi="Times New Roman"/>
          <w:szCs w:val="22"/>
        </w:rPr>
        <w:t xml:space="preserve"> E jogcímre visszafizetésre </w:t>
      </w:r>
      <w:r w:rsidR="00B72F8B">
        <w:rPr>
          <w:rFonts w:ascii="Times New Roman" w:hAnsi="Times New Roman"/>
          <w:szCs w:val="22"/>
        </w:rPr>
        <w:lastRenderedPageBreak/>
        <w:t xml:space="preserve">került a </w:t>
      </w:r>
      <w:proofErr w:type="spellStart"/>
      <w:r w:rsidR="00B72F8B">
        <w:rPr>
          <w:rFonts w:ascii="Times New Roman" w:hAnsi="Times New Roman"/>
          <w:szCs w:val="22"/>
        </w:rPr>
        <w:t>Nyugat-PannonNonprofit</w:t>
      </w:r>
      <w:proofErr w:type="spellEnd"/>
      <w:r w:rsidR="00B72F8B">
        <w:rPr>
          <w:rFonts w:ascii="Times New Roman" w:hAnsi="Times New Roman"/>
          <w:szCs w:val="22"/>
        </w:rPr>
        <w:t xml:space="preserve"> Kft részére nyújtott „</w:t>
      </w:r>
      <w:r w:rsidR="00B72F8B" w:rsidRPr="00B72F8B">
        <w:rPr>
          <w:rFonts w:ascii="Times New Roman" w:hAnsi="Times New Roman"/>
          <w:szCs w:val="22"/>
        </w:rPr>
        <w:t>Múlttal a Jövőért"pályáza</w:t>
      </w:r>
      <w:r w:rsidR="00B72F8B">
        <w:rPr>
          <w:rFonts w:ascii="Times New Roman" w:hAnsi="Times New Roman"/>
          <w:szCs w:val="22"/>
        </w:rPr>
        <w:t>t” előfinanszírozási összege.</w:t>
      </w:r>
    </w:p>
    <w:p w:rsidR="00653C8E" w:rsidRDefault="00B72F8B" w:rsidP="007B00A7">
      <w:pPr>
        <w:pStyle w:val="Default"/>
        <w:keepNext/>
        <w:tabs>
          <w:tab w:val="right" w:pos="6096"/>
          <w:tab w:val="right" w:pos="8080"/>
        </w:tabs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Pályázati lehetőségek bevezetése óta </w:t>
      </w:r>
      <w:r w:rsidR="006D0228">
        <w:rPr>
          <w:rFonts w:ascii="Times New Roman" w:hAnsi="Times New Roman"/>
          <w:szCs w:val="22"/>
        </w:rPr>
        <w:t xml:space="preserve">figyelemmel kísérjük a kiírt pályázati lehetőségeket, mivel a </w:t>
      </w:r>
      <w:r w:rsidR="004367EF">
        <w:rPr>
          <w:rFonts w:ascii="Times New Roman" w:hAnsi="Times New Roman"/>
          <w:szCs w:val="22"/>
        </w:rPr>
        <w:t>felhalmozási kiadásokra a központi kö</w:t>
      </w:r>
      <w:r w:rsidR="006D0228">
        <w:rPr>
          <w:rFonts w:ascii="Times New Roman" w:hAnsi="Times New Roman"/>
          <w:szCs w:val="22"/>
        </w:rPr>
        <w:t>ltségvetés nem biztosít forrást. Az elmúlt évben kevés pályázat került kiírásra.</w:t>
      </w:r>
      <w:r w:rsidR="004367EF">
        <w:rPr>
          <w:rFonts w:ascii="Times New Roman" w:hAnsi="Times New Roman"/>
          <w:szCs w:val="22"/>
        </w:rPr>
        <w:t xml:space="preserve"> </w:t>
      </w:r>
      <w:r w:rsidR="00653C8E">
        <w:rPr>
          <w:rFonts w:ascii="Times New Roman" w:hAnsi="Times New Roman"/>
          <w:szCs w:val="22"/>
        </w:rPr>
        <w:t xml:space="preserve">Az </w:t>
      </w:r>
      <w:r w:rsidR="006D0228">
        <w:rPr>
          <w:rFonts w:ascii="Times New Roman" w:hAnsi="Times New Roman"/>
          <w:szCs w:val="22"/>
        </w:rPr>
        <w:t xml:space="preserve">önkormányzati épületek energetikai korszerűsítésére nyílt pályázati lehetőség. A projektnek köszönhetően az </w:t>
      </w:r>
      <w:r w:rsidR="00653C8E">
        <w:rPr>
          <w:rFonts w:ascii="Times New Roman" w:hAnsi="Times New Roman"/>
          <w:szCs w:val="22"/>
        </w:rPr>
        <w:t xml:space="preserve">iskola felújításához jelentős összegű </w:t>
      </w:r>
      <w:r w:rsidR="004367EF">
        <w:rPr>
          <w:rFonts w:ascii="Times New Roman" w:hAnsi="Times New Roman"/>
          <w:szCs w:val="22"/>
        </w:rPr>
        <w:t>pályázati</w:t>
      </w:r>
      <w:r w:rsidR="00653C8E">
        <w:rPr>
          <w:rFonts w:ascii="Times New Roman" w:hAnsi="Times New Roman"/>
          <w:szCs w:val="22"/>
        </w:rPr>
        <w:t xml:space="preserve"> forráshoz jutottunk</w:t>
      </w:r>
      <w:r w:rsidR="006D0228">
        <w:rPr>
          <w:rFonts w:ascii="Times New Roman" w:hAnsi="Times New Roman"/>
          <w:szCs w:val="22"/>
        </w:rPr>
        <w:t xml:space="preserve">. A KEOP pályázat keretében megtörtént a volt gimnázium és a tornacsarnok </w:t>
      </w:r>
      <w:r w:rsidR="006D0228" w:rsidRPr="006D0228">
        <w:rPr>
          <w:rFonts w:ascii="Times New Roman" w:hAnsi="Times New Roman"/>
          <w:szCs w:val="22"/>
        </w:rPr>
        <w:t>épületének</w:t>
      </w:r>
      <w:r w:rsidR="006D0228">
        <w:rPr>
          <w:rFonts w:ascii="Times New Roman" w:hAnsi="Times New Roman"/>
          <w:szCs w:val="22"/>
        </w:rPr>
        <w:t xml:space="preserve"> utólagos hőszigetelése és fűtéskorszerűsítése. Az elnyert és</w:t>
      </w:r>
      <w:r w:rsidR="00653C8E">
        <w:rPr>
          <w:rFonts w:ascii="Times New Roman" w:hAnsi="Times New Roman"/>
          <w:szCs w:val="22"/>
        </w:rPr>
        <w:t xml:space="preserve"> kiutalt támogatás 76144 E Ft volt.</w:t>
      </w:r>
      <w:r w:rsidR="006D0228">
        <w:rPr>
          <w:rFonts w:ascii="Times New Roman" w:hAnsi="Times New Roman"/>
          <w:szCs w:val="22"/>
        </w:rPr>
        <w:t xml:space="preserve"> Ezen kívül a</w:t>
      </w:r>
      <w:r w:rsidR="006D0228" w:rsidRPr="006D0228">
        <w:t xml:space="preserve"> </w:t>
      </w:r>
      <w:r w:rsidR="006D0228">
        <w:rPr>
          <w:rFonts w:ascii="Times New Roman" w:hAnsi="Times New Roman"/>
          <w:szCs w:val="22"/>
        </w:rPr>
        <w:t xml:space="preserve">tulajdonunkat képező Pálos Rendház </w:t>
      </w:r>
      <w:r w:rsidR="007B00A7">
        <w:rPr>
          <w:rFonts w:ascii="Times New Roman" w:hAnsi="Times New Roman"/>
          <w:szCs w:val="22"/>
        </w:rPr>
        <w:t xml:space="preserve">részleges felújítására - </w:t>
      </w:r>
      <w:r w:rsidR="007B00A7" w:rsidRPr="007B00A7">
        <w:rPr>
          <w:rFonts w:ascii="Times New Roman" w:hAnsi="Times New Roman"/>
          <w:szCs w:val="22"/>
        </w:rPr>
        <w:t>falak víztelenítés</w:t>
      </w:r>
      <w:r w:rsidR="007B00A7">
        <w:rPr>
          <w:rFonts w:ascii="Times New Roman" w:hAnsi="Times New Roman"/>
          <w:szCs w:val="22"/>
        </w:rPr>
        <w:t>ére és szigetelésére – az NKA biztosított 3 M Ft támogatást. A munka elvégzése megtörtént a kiutalás még nem teljesült.</w:t>
      </w:r>
    </w:p>
    <w:p w:rsidR="00653C8E" w:rsidRDefault="007B00A7" w:rsidP="007B00A7">
      <w:pPr>
        <w:pStyle w:val="Default"/>
        <w:keepNext/>
        <w:tabs>
          <w:tab w:val="right" w:pos="6096"/>
          <w:tab w:val="right" w:pos="8080"/>
        </w:tabs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Egyéb f</w:t>
      </w:r>
      <w:r w:rsidR="00653C8E">
        <w:rPr>
          <w:rFonts w:ascii="Times New Roman" w:hAnsi="Times New Roman"/>
          <w:szCs w:val="22"/>
        </w:rPr>
        <w:t>elhalmozási bevételek címén 1109 E Ft bevétel realizálódott, amely földr</w:t>
      </w:r>
      <w:r w:rsidR="00463F54">
        <w:rPr>
          <w:rFonts w:ascii="Times New Roman" w:hAnsi="Times New Roman"/>
          <w:szCs w:val="22"/>
        </w:rPr>
        <w:t>észlet és egy használaton kívüli pótkocsi értékesítéséből származott.</w:t>
      </w:r>
    </w:p>
    <w:p w:rsidR="004367EF" w:rsidRDefault="004367EF" w:rsidP="007B00A7">
      <w:pPr>
        <w:pStyle w:val="Default"/>
        <w:keepNext/>
        <w:tabs>
          <w:tab w:val="right" w:pos="6096"/>
          <w:tab w:val="right" w:pos="8080"/>
        </w:tabs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Az előző évi jóváhagyott pénzmaradvány 100947 E Ft volt, amelyet a 2014. évben befolyt bevételek és a megfontolt gazdálkodás eredményez</w:t>
      </w:r>
      <w:r w:rsidR="007B00A7">
        <w:rPr>
          <w:rFonts w:ascii="Times New Roman" w:hAnsi="Times New Roman"/>
          <w:szCs w:val="22"/>
        </w:rPr>
        <w:t>ett</w:t>
      </w:r>
      <w:r>
        <w:rPr>
          <w:rFonts w:ascii="Times New Roman" w:hAnsi="Times New Roman"/>
          <w:szCs w:val="22"/>
        </w:rPr>
        <w:t>. A maradvány biztosította a működési és felhalmozási kiadások határidőre történő teljesítését likviditási problémák nélkül.</w:t>
      </w:r>
    </w:p>
    <w:p w:rsidR="00463F54" w:rsidRDefault="004367EF" w:rsidP="002865F9">
      <w:pPr>
        <w:pStyle w:val="Cmsor1"/>
        <w:spacing w:after="600"/>
        <w:jc w:val="both"/>
      </w:pPr>
      <w:r>
        <w:t xml:space="preserve">4. </w:t>
      </w:r>
      <w:r w:rsidR="00463F54">
        <w:t>Kiadások</w:t>
      </w:r>
    </w:p>
    <w:p w:rsidR="000A40ED" w:rsidRDefault="00463F54" w:rsidP="002865F9">
      <w:pPr>
        <w:pStyle w:val="Default"/>
        <w:keepNext/>
        <w:tabs>
          <w:tab w:val="right" w:pos="6096"/>
          <w:tab w:val="right" w:pos="808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törvényben előírt és az</w:t>
      </w:r>
      <w:r w:rsidRPr="00463F54">
        <w:rPr>
          <w:rFonts w:ascii="Times New Roman" w:hAnsi="Times New Roman"/>
          <w:szCs w:val="22"/>
        </w:rPr>
        <w:t xml:space="preserve"> alapító okiratban rögzített alapfeladatok ellátása maradéktalanul megvalósult, melyre a rendelkezésre álló </w:t>
      </w:r>
      <w:r w:rsidR="004367EF">
        <w:rPr>
          <w:rFonts w:ascii="Times New Roman" w:hAnsi="Times New Roman"/>
          <w:szCs w:val="22"/>
        </w:rPr>
        <w:t>központi és saját források</w:t>
      </w:r>
      <w:r w:rsidRPr="00463F54">
        <w:rPr>
          <w:rFonts w:ascii="Times New Roman" w:hAnsi="Times New Roman"/>
          <w:szCs w:val="22"/>
        </w:rPr>
        <w:t xml:space="preserve"> fedezetet nyújtottak. A kiadások valamennyi jogcím esetében az előirányzaton belül maradtak.</w:t>
      </w:r>
      <w:r>
        <w:rPr>
          <w:rFonts w:ascii="Times New Roman" w:hAnsi="Times New Roman"/>
          <w:szCs w:val="22"/>
        </w:rPr>
        <w:t xml:space="preserve"> </w:t>
      </w:r>
      <w:r w:rsidRPr="00463F54">
        <w:rPr>
          <w:rFonts w:ascii="Times New Roman" w:hAnsi="Times New Roman"/>
          <w:szCs w:val="22"/>
        </w:rPr>
        <w:t xml:space="preserve"> </w:t>
      </w:r>
    </w:p>
    <w:p w:rsidR="00463F54" w:rsidRDefault="00463F54" w:rsidP="007B00A7">
      <w:pPr>
        <w:pStyle w:val="Default"/>
        <w:keepNext/>
        <w:tabs>
          <w:tab w:val="right" w:pos="6096"/>
          <w:tab w:val="right" w:pos="8080"/>
        </w:tabs>
        <w:spacing w:before="240" w:after="360"/>
        <w:jc w:val="both"/>
        <w:rPr>
          <w:rFonts w:ascii="Times New Roman" w:hAnsi="Times New Roman"/>
          <w:szCs w:val="22"/>
        </w:rPr>
      </w:pPr>
      <w:r w:rsidRPr="00463F54">
        <w:rPr>
          <w:rFonts w:ascii="Times New Roman" w:hAnsi="Times New Roman"/>
          <w:szCs w:val="22"/>
        </w:rPr>
        <w:t xml:space="preserve">A </w:t>
      </w:r>
      <w:r w:rsidR="007B00A7">
        <w:rPr>
          <w:rFonts w:ascii="Times New Roman" w:hAnsi="Times New Roman"/>
          <w:szCs w:val="22"/>
        </w:rPr>
        <w:t xml:space="preserve">működési </w:t>
      </w:r>
      <w:r w:rsidRPr="00463F54">
        <w:rPr>
          <w:rFonts w:ascii="Times New Roman" w:hAnsi="Times New Roman"/>
          <w:szCs w:val="22"/>
        </w:rPr>
        <w:t xml:space="preserve">kiadások jelentős </w:t>
      </w:r>
      <w:r w:rsidR="007B00A7">
        <w:rPr>
          <w:rFonts w:ascii="Times New Roman" w:hAnsi="Times New Roman"/>
          <w:szCs w:val="22"/>
        </w:rPr>
        <w:t>részét</w:t>
      </w:r>
      <w:r w:rsidRPr="00463F54">
        <w:rPr>
          <w:rFonts w:ascii="Times New Roman" w:hAnsi="Times New Roman"/>
          <w:szCs w:val="22"/>
        </w:rPr>
        <w:t xml:space="preserve"> a személyi juttatások és azok járulékai, az étkeztetés kiadásai</w:t>
      </w:r>
      <w:r w:rsidR="007B00A7">
        <w:rPr>
          <w:rFonts w:ascii="Times New Roman" w:hAnsi="Times New Roman"/>
          <w:szCs w:val="22"/>
        </w:rPr>
        <w:t>,</w:t>
      </w:r>
      <w:r w:rsidRPr="00463F54">
        <w:rPr>
          <w:rFonts w:ascii="Times New Roman" w:hAnsi="Times New Roman"/>
          <w:szCs w:val="22"/>
        </w:rPr>
        <w:t xml:space="preserve"> valamint az épületek fenntartási, működtetési </w:t>
      </w:r>
      <w:r w:rsidR="007B00A7">
        <w:rPr>
          <w:rFonts w:ascii="Times New Roman" w:hAnsi="Times New Roman"/>
          <w:szCs w:val="22"/>
        </w:rPr>
        <w:t>költségei</w:t>
      </w:r>
      <w:r w:rsidRPr="00463F54">
        <w:rPr>
          <w:rFonts w:ascii="Times New Roman" w:hAnsi="Times New Roman"/>
          <w:szCs w:val="22"/>
        </w:rPr>
        <w:t xml:space="preserve"> teszik ki.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0A40ED" w:rsidTr="000A40ED">
        <w:tc>
          <w:tcPr>
            <w:tcW w:w="3070" w:type="dxa"/>
          </w:tcPr>
          <w:p w:rsidR="000A40ED" w:rsidRPr="007B00A7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7B00A7">
              <w:rPr>
                <w:rFonts w:ascii="Times New Roman" w:hAnsi="Times New Roman"/>
                <w:b/>
                <w:szCs w:val="22"/>
              </w:rPr>
              <w:t>Megnevezés</w:t>
            </w:r>
          </w:p>
        </w:tc>
        <w:tc>
          <w:tcPr>
            <w:tcW w:w="3071" w:type="dxa"/>
          </w:tcPr>
          <w:p w:rsidR="000A40ED" w:rsidRPr="007B00A7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7B00A7">
              <w:rPr>
                <w:rFonts w:ascii="Times New Roman" w:hAnsi="Times New Roman"/>
                <w:b/>
                <w:szCs w:val="22"/>
              </w:rPr>
              <w:t>Teljesítés (E Ft-ban)</w:t>
            </w:r>
          </w:p>
        </w:tc>
        <w:tc>
          <w:tcPr>
            <w:tcW w:w="3071" w:type="dxa"/>
          </w:tcPr>
          <w:p w:rsidR="000A40ED" w:rsidRPr="007B00A7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7B00A7">
              <w:rPr>
                <w:rFonts w:ascii="Times New Roman" w:hAnsi="Times New Roman"/>
                <w:b/>
                <w:szCs w:val="22"/>
              </w:rPr>
              <w:t>Kiadások aránya (%)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Személyi juttatások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91693</w:t>
            </w:r>
          </w:p>
        </w:tc>
        <w:tc>
          <w:tcPr>
            <w:tcW w:w="3071" w:type="dxa"/>
          </w:tcPr>
          <w:p w:rsidR="000A40ED" w:rsidRDefault="00566B64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15,8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Munkaadókat terhelő járulékok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23479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566B64">
              <w:rPr>
                <w:rFonts w:ascii="Times New Roman" w:hAnsi="Times New Roman"/>
                <w:szCs w:val="22"/>
              </w:rPr>
              <w:t>,03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dologi kiadások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114259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19,6</w:t>
            </w:r>
            <w:r w:rsidR="00566B64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Ellátottak pénzbeli juttatásai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8366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1,4</w:t>
            </w:r>
            <w:r w:rsidR="00566B64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Egyéb működési célú kiadások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140929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24,2</w:t>
            </w:r>
            <w:r w:rsidR="00566B64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ezen belül: civil szervezetek támogatása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15835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2,7</w:t>
            </w:r>
            <w:r w:rsidR="00566B64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Beruházások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21837</w:t>
            </w:r>
          </w:p>
        </w:tc>
        <w:tc>
          <w:tcPr>
            <w:tcW w:w="3071" w:type="dxa"/>
          </w:tcPr>
          <w:p w:rsidR="000A40ED" w:rsidRDefault="00566B64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3,75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Felújítások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174911</w:t>
            </w:r>
          </w:p>
        </w:tc>
        <w:tc>
          <w:tcPr>
            <w:tcW w:w="3071" w:type="dxa"/>
          </w:tcPr>
          <w:p w:rsidR="000A40ED" w:rsidRDefault="002F4B9C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</w:tr>
      <w:tr w:rsidR="000A40ED" w:rsidTr="000A40ED">
        <w:tc>
          <w:tcPr>
            <w:tcW w:w="3070" w:type="dxa"/>
          </w:tcPr>
          <w:p w:rsidR="000A40ED" w:rsidRPr="007B00A7" w:rsidRDefault="000A40ED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Egyéb felhalmozási célú kiadás</w:t>
            </w:r>
          </w:p>
        </w:tc>
        <w:tc>
          <w:tcPr>
            <w:tcW w:w="3071" w:type="dxa"/>
          </w:tcPr>
          <w:p w:rsidR="000A40ED" w:rsidRDefault="000A40ED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1065</w:t>
            </w:r>
          </w:p>
        </w:tc>
        <w:tc>
          <w:tcPr>
            <w:tcW w:w="3071" w:type="dxa"/>
          </w:tcPr>
          <w:p w:rsidR="000A40ED" w:rsidRDefault="00566B64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0,19</w:t>
            </w:r>
          </w:p>
        </w:tc>
      </w:tr>
      <w:tr w:rsidR="00566B64" w:rsidTr="000A40ED">
        <w:tc>
          <w:tcPr>
            <w:tcW w:w="3070" w:type="dxa"/>
          </w:tcPr>
          <w:p w:rsidR="00566B64" w:rsidRPr="007B00A7" w:rsidRDefault="00566B64" w:rsidP="002865F9">
            <w:pPr>
              <w:pStyle w:val="Default"/>
              <w:keepNext/>
              <w:tabs>
                <w:tab w:val="right" w:pos="6096"/>
                <w:tab w:val="right" w:pos="8080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7B00A7">
              <w:rPr>
                <w:rFonts w:ascii="Times New Roman" w:hAnsi="Times New Roman"/>
                <w:i/>
                <w:szCs w:val="22"/>
              </w:rPr>
              <w:t>Államháztartáson belüli megelőlegezés visszafizetése</w:t>
            </w:r>
          </w:p>
        </w:tc>
        <w:tc>
          <w:tcPr>
            <w:tcW w:w="3071" w:type="dxa"/>
          </w:tcPr>
          <w:p w:rsidR="00566B64" w:rsidRDefault="00566B64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5553</w:t>
            </w:r>
          </w:p>
        </w:tc>
        <w:tc>
          <w:tcPr>
            <w:tcW w:w="3071" w:type="dxa"/>
          </w:tcPr>
          <w:p w:rsidR="00566B64" w:rsidRDefault="00566B64" w:rsidP="007B00A7">
            <w:pPr>
              <w:pStyle w:val="Default"/>
              <w:keepNext/>
              <w:tabs>
                <w:tab w:val="right" w:pos="6096"/>
                <w:tab w:val="right" w:pos="808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</w:t>
            </w:r>
            <w:r w:rsidR="002F4B9C">
              <w:rPr>
                <w:rFonts w:ascii="Times New Roman" w:hAnsi="Times New Roman"/>
                <w:szCs w:val="22"/>
              </w:rPr>
              <w:t>5</w:t>
            </w:r>
          </w:p>
        </w:tc>
      </w:tr>
    </w:tbl>
    <w:p w:rsidR="002F4B9C" w:rsidRDefault="002F4B9C" w:rsidP="007B00A7">
      <w:pPr>
        <w:pStyle w:val="Default"/>
        <w:keepNext/>
        <w:tabs>
          <w:tab w:val="right" w:pos="6096"/>
          <w:tab w:val="right" w:pos="8080"/>
        </w:tabs>
        <w:spacing w:before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működési kiadások jelentős hányadát 24,22 %-át a pénzeszköz átadások teszik ki. Itt került elszámolásra a Lébényi Óvodafenntartó Társulás</w:t>
      </w:r>
      <w:r w:rsidR="007B00A7">
        <w:rPr>
          <w:rFonts w:ascii="Times New Roman" w:hAnsi="Times New Roman"/>
          <w:szCs w:val="22"/>
        </w:rPr>
        <w:t xml:space="preserve"> és a Mosonmagyaróvári Térségi Társulás</w:t>
      </w:r>
      <w:r>
        <w:rPr>
          <w:rFonts w:ascii="Times New Roman" w:hAnsi="Times New Roman"/>
          <w:szCs w:val="22"/>
        </w:rPr>
        <w:t xml:space="preserve"> részére átadott működési támogatás. </w:t>
      </w:r>
    </w:p>
    <w:p w:rsidR="00463F54" w:rsidRDefault="002F4B9C" w:rsidP="002865F9">
      <w:pPr>
        <w:pStyle w:val="Default"/>
        <w:keepNext/>
        <w:tabs>
          <w:tab w:val="right" w:pos="6096"/>
          <w:tab w:val="right" w:pos="808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Önként vállalt feladatként az önkormányzat az egyházakat, a településen, illetve a településért működő egyesületeket – a nem pénzbeli támogatáson kívül – 15835 E Ft hozzájárulással támogatta, amely a költségvetési kiadások 2,72 %-át jelentették.</w:t>
      </w:r>
    </w:p>
    <w:p w:rsidR="009A3F18" w:rsidRDefault="002F4B9C" w:rsidP="009A3F18">
      <w:pPr>
        <w:pStyle w:val="Default"/>
        <w:keepNext/>
        <w:tabs>
          <w:tab w:val="right" w:pos="6096"/>
          <w:tab w:val="right" w:pos="8080"/>
        </w:tabs>
        <w:spacing w:before="2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tavalyi évben </w:t>
      </w:r>
      <w:r w:rsidR="009A3F18">
        <w:rPr>
          <w:rFonts w:ascii="Times New Roman" w:hAnsi="Times New Roman"/>
          <w:szCs w:val="22"/>
        </w:rPr>
        <w:t>jelentős összegeket fordítottunk felhalmozási kiadásaink teljesítésére</w:t>
      </w:r>
      <w:r>
        <w:rPr>
          <w:rFonts w:ascii="Times New Roman" w:hAnsi="Times New Roman"/>
          <w:szCs w:val="22"/>
        </w:rPr>
        <w:t>. Beruházásokra a költségvetési kiadások 3,75 %-át, míg a felújításokra a 30 %-át használtuk fel. Legjelentősebb a volt gimnázium és tornacsarnok épületéknek felújítása volt. A kiadások egy</w:t>
      </w:r>
      <w:r w:rsidR="009A3F1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részét a KEOP pályázaton elnyert támogatás </w:t>
      </w:r>
      <w:r w:rsidR="00C82B19">
        <w:rPr>
          <w:rFonts w:ascii="Times New Roman" w:hAnsi="Times New Roman"/>
          <w:szCs w:val="22"/>
        </w:rPr>
        <w:t>fedezte.</w:t>
      </w:r>
      <w:r w:rsidR="007B00A7">
        <w:rPr>
          <w:rFonts w:ascii="Times New Roman" w:hAnsi="Times New Roman"/>
          <w:szCs w:val="22"/>
        </w:rPr>
        <w:t xml:space="preserve"> </w:t>
      </w:r>
    </w:p>
    <w:p w:rsidR="002F4B9C" w:rsidRDefault="007B00A7" w:rsidP="009A3F18">
      <w:pPr>
        <w:pStyle w:val="Default"/>
        <w:keepNext/>
        <w:tabs>
          <w:tab w:val="right" w:pos="6096"/>
          <w:tab w:val="right" w:pos="808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Tavalyi évben </w:t>
      </w:r>
      <w:r w:rsidR="00EB6280">
        <w:rPr>
          <w:rFonts w:ascii="Times New Roman" w:hAnsi="Times New Roman"/>
          <w:szCs w:val="22"/>
        </w:rPr>
        <w:t>55,5</w:t>
      </w:r>
      <w:r w:rsidR="00861416">
        <w:rPr>
          <w:rFonts w:ascii="Times New Roman" w:hAnsi="Times New Roman"/>
          <w:szCs w:val="22"/>
        </w:rPr>
        <w:t xml:space="preserve"> M Ft módosított előirányzatot szavazott meg a képviselő-testület az önkormányzati utak felújítására, amelyből 49882 E Ft került felhasználásra. </w:t>
      </w:r>
    </w:p>
    <w:p w:rsidR="00C82B19" w:rsidRDefault="00C82B19" w:rsidP="002865F9">
      <w:pPr>
        <w:pStyle w:val="Default"/>
        <w:keepNext/>
        <w:tabs>
          <w:tab w:val="right" w:pos="6096"/>
          <w:tab w:val="right" w:pos="808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beruházások és felújítások részletes kimutatását a költségvetési rendeletünk 6, 7 és 8 számú melléklete tartalmazza.</w:t>
      </w:r>
    </w:p>
    <w:p w:rsidR="0035306F" w:rsidRDefault="0035306F" w:rsidP="00861416">
      <w:pPr>
        <w:keepNext/>
        <w:spacing w:before="240"/>
        <w:jc w:val="both"/>
      </w:pPr>
      <w:r>
        <w:t>Az önkormányzat és az önkormányzati hivat</w:t>
      </w:r>
      <w:r w:rsidR="009A3F18">
        <w:t>a</w:t>
      </w:r>
      <w:r>
        <w:t xml:space="preserve">lnál együttesen keletkezett költségvetési maradvány 86766 </w:t>
      </w:r>
      <w:r w:rsidR="00855079">
        <w:t>E Ft</w:t>
      </w:r>
      <w:r>
        <w:t>, melynek 29,4.%-a feladattal terhelt.</w:t>
      </w:r>
      <w:r w:rsidR="009A3F18">
        <w:t xml:space="preserve"> A 2015. évi maradvány összegével korrigálni kell az elfogadott 2016. évi eredeti költségvetésünket.</w:t>
      </w:r>
    </w:p>
    <w:p w:rsidR="00463F54" w:rsidRPr="00463F54" w:rsidRDefault="00C82B19" w:rsidP="002865F9">
      <w:pPr>
        <w:pStyle w:val="Cmsor1"/>
        <w:spacing w:after="600"/>
        <w:jc w:val="both"/>
      </w:pPr>
      <w:r>
        <w:t>5. Az önkormányzati vagyon alakulása</w:t>
      </w:r>
    </w:p>
    <w:p w:rsidR="00463F54" w:rsidRDefault="00C82B19" w:rsidP="002865F9">
      <w:pPr>
        <w:keepNext/>
        <w:jc w:val="both"/>
      </w:pPr>
      <w:r>
        <w:t xml:space="preserve">Lébény </w:t>
      </w:r>
      <w:r w:rsidR="00463F54">
        <w:t xml:space="preserve">Város Önkormányzata 2015. évi </w:t>
      </w:r>
      <w:r>
        <w:t xml:space="preserve">befektetett eszközeinek nettó értéke 118831 </w:t>
      </w:r>
      <w:r w:rsidR="009A3F18">
        <w:t>E</w:t>
      </w:r>
      <w:r>
        <w:t xml:space="preserve"> Ft-tal növekedett, amely a bázis évhez viszonyítva 0,9 %</w:t>
      </w:r>
      <w:r w:rsidR="00861416">
        <w:t>-os emelkedés</w:t>
      </w:r>
      <w:r>
        <w:t>. Növekedést a</w:t>
      </w:r>
      <w:r w:rsidR="00861416">
        <w:t>z elvégzett</w:t>
      </w:r>
      <w:r>
        <w:t xml:space="preserve"> beruházások, felújítások </w:t>
      </w:r>
      <w:r w:rsidR="00861416">
        <w:t>eredményezték.</w:t>
      </w:r>
    </w:p>
    <w:p w:rsidR="00C82B19" w:rsidRDefault="00C82B19" w:rsidP="002865F9">
      <w:pPr>
        <w:keepNext/>
        <w:jc w:val="both"/>
      </w:pPr>
      <w:r>
        <w:t>A befektetett pénzügyi eszközök értéke 7840 E Ft, amely megegyezik a tavalyi év értékével.</w:t>
      </w:r>
    </w:p>
    <w:p w:rsidR="00152181" w:rsidRDefault="00152181" w:rsidP="002865F9">
      <w:pPr>
        <w:keepNext/>
        <w:jc w:val="both"/>
      </w:pPr>
      <w:r>
        <w:t xml:space="preserve">Pénzeszközök záró állománya 81864 E Ft, amely a bázis évhez képest 14794 E Ft csökkenést mutat. </w:t>
      </w:r>
    </w:p>
    <w:p w:rsidR="00152181" w:rsidRDefault="00152181" w:rsidP="002865F9">
      <w:pPr>
        <w:keepNext/>
        <w:jc w:val="both"/>
      </w:pPr>
      <w:r>
        <w:t>A követelések értéke 2171 E Ft-tal változott, amely a nyitó állományhoz viszonyítva 15,5 % növekedés. Folyamatosan figyelemmel kísérjük kintlévősége</w:t>
      </w:r>
      <w:r w:rsidR="00692571">
        <w:t>in</w:t>
      </w:r>
      <w:r>
        <w:t>k</w:t>
      </w:r>
      <w:r w:rsidR="00692571">
        <w:t>et és a követelések behajtásáról a törvényi előírásoknak megfelelően</w:t>
      </w:r>
      <w:r>
        <w:t xml:space="preserve"> </w:t>
      </w:r>
      <w:r w:rsidR="00692571">
        <w:t>intézkedünk.</w:t>
      </w:r>
    </w:p>
    <w:p w:rsidR="005331EF" w:rsidRDefault="00692571" w:rsidP="002865F9">
      <w:pPr>
        <w:keepNext/>
        <w:jc w:val="both"/>
      </w:pPr>
      <w:r>
        <w:t>Kötelezettségeink értéke is növekedett 2861 E Ft-tal, azaz 12,7 %-kal. Ennek egyik oka, hogy központi forrásból a 2016. évi feladatok ellátására 5589 E Ft megelőlegezést kaptunk, illetve a beérkezett és nyilvántartásba vett számlák pénzügyi teljesítése a 2016. évet érinti.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92571" w:rsidTr="00795202">
        <w:tc>
          <w:tcPr>
            <w:tcW w:w="4606" w:type="dxa"/>
            <w:gridSpan w:val="2"/>
          </w:tcPr>
          <w:p w:rsidR="00692571" w:rsidRPr="00861416" w:rsidRDefault="00692571" w:rsidP="002865F9">
            <w:pPr>
              <w:keepNext/>
              <w:jc w:val="both"/>
              <w:rPr>
                <w:b/>
              </w:rPr>
            </w:pPr>
            <w:r w:rsidRPr="00861416">
              <w:rPr>
                <w:b/>
              </w:rPr>
              <w:t>Mutatók megnevezése</w:t>
            </w:r>
          </w:p>
        </w:tc>
        <w:tc>
          <w:tcPr>
            <w:tcW w:w="2303" w:type="dxa"/>
          </w:tcPr>
          <w:p w:rsidR="00692571" w:rsidRPr="00861416" w:rsidRDefault="00692571" w:rsidP="002865F9">
            <w:pPr>
              <w:keepNext/>
              <w:jc w:val="both"/>
              <w:rPr>
                <w:b/>
              </w:rPr>
            </w:pPr>
            <w:r w:rsidRPr="00861416">
              <w:rPr>
                <w:b/>
              </w:rPr>
              <w:t>2015.01.01</w:t>
            </w:r>
          </w:p>
        </w:tc>
        <w:tc>
          <w:tcPr>
            <w:tcW w:w="2303" w:type="dxa"/>
          </w:tcPr>
          <w:p w:rsidR="00692571" w:rsidRPr="00861416" w:rsidRDefault="00692571" w:rsidP="002865F9">
            <w:pPr>
              <w:keepNext/>
              <w:jc w:val="both"/>
              <w:rPr>
                <w:b/>
              </w:rPr>
            </w:pPr>
            <w:r w:rsidRPr="00861416">
              <w:rPr>
                <w:b/>
              </w:rPr>
              <w:t>2015.12.31</w:t>
            </w:r>
          </w:p>
        </w:tc>
      </w:tr>
      <w:tr w:rsidR="00692571" w:rsidTr="00692571">
        <w:tc>
          <w:tcPr>
            <w:tcW w:w="2303" w:type="dxa"/>
          </w:tcPr>
          <w:p w:rsidR="00692571" w:rsidRPr="00861416" w:rsidRDefault="00692571" w:rsidP="002865F9">
            <w:pPr>
              <w:keepNext/>
              <w:jc w:val="both"/>
              <w:rPr>
                <w:i/>
              </w:rPr>
            </w:pPr>
            <w:r w:rsidRPr="00861416">
              <w:rPr>
                <w:i/>
              </w:rPr>
              <w:t>Befektetett eszközök aránya</w:t>
            </w:r>
          </w:p>
        </w:tc>
        <w:tc>
          <w:tcPr>
            <w:tcW w:w="2303" w:type="dxa"/>
          </w:tcPr>
          <w:p w:rsidR="00692571" w:rsidRDefault="0035306F" w:rsidP="00861416">
            <w:pPr>
              <w:keepNext/>
              <w:keepLines/>
              <w:pageBreakBefore/>
              <w:suppressLineNumbers/>
              <w:suppressAutoHyphens/>
              <w:jc w:val="center"/>
              <w:rPr>
                <w:u w:val="single"/>
              </w:rPr>
            </w:pPr>
            <w:r>
              <w:t xml:space="preserve">= </w:t>
            </w:r>
            <w:r>
              <w:rPr>
                <w:u w:val="single"/>
              </w:rPr>
              <w:t>befektetett eszközök</w:t>
            </w:r>
          </w:p>
          <w:p w:rsidR="0035306F" w:rsidRPr="0035306F" w:rsidRDefault="0035306F" w:rsidP="00861416">
            <w:pPr>
              <w:keepNext/>
              <w:keepLines/>
              <w:pageBreakBefore/>
              <w:suppressLineNumbers/>
              <w:suppressAutoHyphens/>
              <w:jc w:val="center"/>
            </w:pPr>
            <w:r>
              <w:t>összes eszköz</w:t>
            </w:r>
          </w:p>
        </w:tc>
        <w:tc>
          <w:tcPr>
            <w:tcW w:w="2303" w:type="dxa"/>
          </w:tcPr>
          <w:p w:rsidR="00692571" w:rsidRDefault="0035306F" w:rsidP="00861416">
            <w:pPr>
              <w:keepNext/>
              <w:jc w:val="right"/>
            </w:pPr>
            <w:r>
              <w:t>92 %</w:t>
            </w:r>
          </w:p>
        </w:tc>
        <w:tc>
          <w:tcPr>
            <w:tcW w:w="2303" w:type="dxa"/>
          </w:tcPr>
          <w:p w:rsidR="00692571" w:rsidRDefault="0035306F" w:rsidP="00861416">
            <w:pPr>
              <w:keepNext/>
              <w:jc w:val="right"/>
            </w:pPr>
            <w:r>
              <w:t>93,3 %</w:t>
            </w:r>
          </w:p>
        </w:tc>
      </w:tr>
      <w:tr w:rsidR="00692571" w:rsidTr="00692571">
        <w:tc>
          <w:tcPr>
            <w:tcW w:w="2303" w:type="dxa"/>
          </w:tcPr>
          <w:p w:rsidR="00692571" w:rsidRPr="00861416" w:rsidRDefault="0035306F" w:rsidP="002865F9">
            <w:pPr>
              <w:keepNext/>
              <w:jc w:val="both"/>
              <w:rPr>
                <w:i/>
              </w:rPr>
            </w:pPr>
            <w:r w:rsidRPr="00861416">
              <w:rPr>
                <w:i/>
              </w:rPr>
              <w:t>Kötelezettségek aránya</w:t>
            </w:r>
          </w:p>
        </w:tc>
        <w:tc>
          <w:tcPr>
            <w:tcW w:w="2303" w:type="dxa"/>
          </w:tcPr>
          <w:p w:rsidR="00692571" w:rsidRDefault="0035306F" w:rsidP="00861416">
            <w:pPr>
              <w:keepNext/>
              <w:keepLines/>
              <w:pageBreakBefore/>
              <w:suppressLineNumbers/>
              <w:suppressAutoHyphens/>
              <w:jc w:val="center"/>
              <w:rPr>
                <w:u w:val="single"/>
              </w:rPr>
            </w:pPr>
            <w:r>
              <w:t xml:space="preserve">= </w:t>
            </w:r>
            <w:r w:rsidRPr="0035306F">
              <w:rPr>
                <w:u w:val="single"/>
              </w:rPr>
              <w:t>kötelezettségek</w:t>
            </w:r>
          </w:p>
          <w:p w:rsidR="0035306F" w:rsidRPr="0035306F" w:rsidRDefault="0035306F" w:rsidP="00861416">
            <w:pPr>
              <w:keepNext/>
              <w:keepLines/>
              <w:pageBreakBefore/>
              <w:suppressLineNumbers/>
              <w:suppressAutoHyphens/>
              <w:jc w:val="center"/>
            </w:pPr>
            <w:r>
              <w:t>mérleg főösszeg</w:t>
            </w:r>
          </w:p>
        </w:tc>
        <w:tc>
          <w:tcPr>
            <w:tcW w:w="2303" w:type="dxa"/>
          </w:tcPr>
          <w:p w:rsidR="00692571" w:rsidRDefault="0035306F" w:rsidP="00861416">
            <w:pPr>
              <w:keepNext/>
              <w:jc w:val="right"/>
            </w:pPr>
            <w:r>
              <w:t>1,6 %</w:t>
            </w:r>
          </w:p>
        </w:tc>
        <w:tc>
          <w:tcPr>
            <w:tcW w:w="2303" w:type="dxa"/>
          </w:tcPr>
          <w:p w:rsidR="00692571" w:rsidRDefault="0035306F" w:rsidP="00861416">
            <w:pPr>
              <w:keepNext/>
              <w:jc w:val="right"/>
            </w:pPr>
            <w:r>
              <w:t>1,7 %</w:t>
            </w:r>
          </w:p>
        </w:tc>
      </w:tr>
    </w:tbl>
    <w:p w:rsidR="005331EF" w:rsidRDefault="005331EF" w:rsidP="00861416">
      <w:pPr>
        <w:keepNext/>
        <w:spacing w:before="240"/>
        <w:jc w:val="both"/>
      </w:pPr>
      <w:r>
        <w:t>B</w:t>
      </w:r>
      <w:r w:rsidRPr="005331EF">
        <w:t xml:space="preserve">eszámoló szerint </w:t>
      </w:r>
      <w:r>
        <w:t>Lébény</w:t>
      </w:r>
      <w:r w:rsidRPr="005331EF">
        <w:t xml:space="preserve"> Város Önkormányzatának mérleg szerinti eredménye </w:t>
      </w:r>
      <w:r>
        <w:t>93925</w:t>
      </w:r>
      <w:r w:rsidRPr="005331EF">
        <w:t xml:space="preserve"> </w:t>
      </w:r>
      <w:r w:rsidR="00855079">
        <w:t>E Ft</w:t>
      </w:r>
      <w:r w:rsidRPr="005331EF">
        <w:t>.</w:t>
      </w:r>
    </w:p>
    <w:p w:rsidR="00861416" w:rsidRDefault="00861416" w:rsidP="00861416">
      <w:pPr>
        <w:keepNext/>
        <w:spacing w:before="360"/>
        <w:jc w:val="both"/>
      </w:pPr>
    </w:p>
    <w:p w:rsidR="00861416" w:rsidRDefault="00861416" w:rsidP="00861416">
      <w:pPr>
        <w:keepNext/>
        <w:spacing w:before="360"/>
        <w:jc w:val="both"/>
      </w:pPr>
    </w:p>
    <w:p w:rsidR="005331EF" w:rsidRPr="00861416" w:rsidRDefault="005331EF" w:rsidP="00861416">
      <w:pPr>
        <w:keepNext/>
        <w:spacing w:before="360"/>
        <w:jc w:val="both"/>
        <w:rPr>
          <w:b/>
        </w:rPr>
      </w:pPr>
      <w:r w:rsidRPr="00861416">
        <w:rPr>
          <w:b/>
        </w:rPr>
        <w:lastRenderedPageBreak/>
        <w:t>Összességében elmondhatjuk, hogy egy rendkívül eredményes évet zártunk, hiszen a biztonságos gazdálkodás mellett a pénzügyi kondícióink még a betételhelyezést is lehetővé tették, melynek hozadékával tovább gyarapíthattuk erőforrásainkat.</w:t>
      </w:r>
    </w:p>
    <w:p w:rsidR="00861416" w:rsidRPr="00861416" w:rsidRDefault="00861416" w:rsidP="00861416">
      <w:pPr>
        <w:keepNext/>
        <w:spacing w:before="360"/>
        <w:jc w:val="both"/>
        <w:rPr>
          <w:b/>
        </w:rPr>
      </w:pPr>
    </w:p>
    <w:p w:rsidR="00861416" w:rsidRDefault="00861416" w:rsidP="00861416">
      <w:pPr>
        <w:keepNext/>
        <w:spacing w:before="360"/>
        <w:jc w:val="both"/>
      </w:pPr>
    </w:p>
    <w:p w:rsidR="00861416" w:rsidRDefault="00861416" w:rsidP="00861416">
      <w:pPr>
        <w:keepNext/>
        <w:spacing w:before="360"/>
        <w:jc w:val="both"/>
      </w:pPr>
    </w:p>
    <w:p w:rsidR="00861416" w:rsidRDefault="00861416" w:rsidP="00861416">
      <w:pPr>
        <w:keepNext/>
        <w:spacing w:before="360"/>
        <w:jc w:val="both"/>
      </w:pPr>
    </w:p>
    <w:p w:rsidR="00861416" w:rsidRDefault="00861416" w:rsidP="00861416">
      <w:pPr>
        <w:keepNext/>
        <w:spacing w:before="360"/>
        <w:jc w:val="both"/>
      </w:pPr>
    </w:p>
    <w:p w:rsidR="00861416" w:rsidRDefault="00861416" w:rsidP="00861416">
      <w:pPr>
        <w:keepNext/>
        <w:spacing w:before="360"/>
        <w:jc w:val="both"/>
      </w:pPr>
      <w:r>
        <w:t>Lébény, 2016. április 21.</w:t>
      </w:r>
    </w:p>
    <w:p w:rsidR="00861416" w:rsidRDefault="00861416" w:rsidP="00861416">
      <w:pPr>
        <w:keepNext/>
        <w:spacing w:before="360"/>
        <w:jc w:val="both"/>
      </w:pPr>
    </w:p>
    <w:p w:rsidR="00861416" w:rsidRDefault="00861416" w:rsidP="00861416">
      <w:pPr>
        <w:keepNext/>
        <w:spacing w:before="360"/>
        <w:jc w:val="both"/>
      </w:pPr>
    </w:p>
    <w:p w:rsidR="00861416" w:rsidRDefault="00861416" w:rsidP="00861416">
      <w:pPr>
        <w:keepNext/>
        <w:spacing w:before="36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Kovács Gábor</w:t>
      </w:r>
    </w:p>
    <w:p w:rsidR="00861416" w:rsidRDefault="00861416" w:rsidP="00861416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861416" w:rsidRPr="00861416" w:rsidRDefault="00861416" w:rsidP="00861416"/>
    <w:p w:rsidR="00861416" w:rsidRPr="00861416" w:rsidRDefault="00861416" w:rsidP="00861416"/>
    <w:p w:rsidR="00861416" w:rsidRPr="00861416" w:rsidRDefault="00861416" w:rsidP="00861416"/>
    <w:p w:rsidR="00861416" w:rsidRPr="00861416" w:rsidRDefault="00861416" w:rsidP="00861416"/>
    <w:p w:rsidR="00861416" w:rsidRPr="00861416" w:rsidRDefault="00861416" w:rsidP="00861416"/>
    <w:p w:rsidR="00861416" w:rsidRPr="00861416" w:rsidRDefault="00861416" w:rsidP="00861416"/>
    <w:p w:rsidR="00861416" w:rsidRDefault="00861416" w:rsidP="00861416"/>
    <w:p w:rsidR="00861416" w:rsidRDefault="00861416" w:rsidP="00861416">
      <w:r>
        <w:t>Mellékletek:</w:t>
      </w:r>
    </w:p>
    <w:p w:rsidR="00861416" w:rsidRDefault="00861416" w:rsidP="00861416">
      <w:pPr>
        <w:pStyle w:val="Listaszerbekezds"/>
        <w:numPr>
          <w:ilvl w:val="0"/>
          <w:numId w:val="3"/>
        </w:numPr>
      </w:pPr>
      <w:r>
        <w:t>rendelettervezet</w:t>
      </w:r>
    </w:p>
    <w:p w:rsidR="00861416" w:rsidRDefault="00861416" w:rsidP="00861416">
      <w:pPr>
        <w:pStyle w:val="Listaszerbekezds"/>
        <w:numPr>
          <w:ilvl w:val="0"/>
          <w:numId w:val="3"/>
        </w:numPr>
      </w:pPr>
      <w:r>
        <w:t>számszaki táblázatok</w:t>
      </w:r>
    </w:p>
    <w:p w:rsidR="00861416" w:rsidRDefault="00861416" w:rsidP="00861416">
      <w:pPr>
        <w:pStyle w:val="Listaszerbekezds"/>
        <w:numPr>
          <w:ilvl w:val="0"/>
          <w:numId w:val="3"/>
        </w:numPr>
      </w:pPr>
      <w:r>
        <w:t>az önkormányzat konszolidált beszámolója</w:t>
      </w:r>
    </w:p>
    <w:p w:rsidR="00861416" w:rsidRDefault="00861416" w:rsidP="00861416">
      <w:pPr>
        <w:pStyle w:val="Listaszerbekezds"/>
        <w:numPr>
          <w:ilvl w:val="0"/>
          <w:numId w:val="3"/>
        </w:numPr>
      </w:pPr>
      <w:r>
        <w:t>maradvány kimutatás intézményenként</w:t>
      </w:r>
    </w:p>
    <w:p w:rsidR="004D133B" w:rsidRDefault="004D133B">
      <w:r>
        <w:br w:type="page"/>
      </w:r>
    </w:p>
    <w:p w:rsidR="004D133B" w:rsidRPr="002D634B" w:rsidRDefault="004D133B" w:rsidP="004D133B">
      <w:pPr>
        <w:pStyle w:val="Szvegtrzs"/>
        <w:spacing w:after="0"/>
        <w:jc w:val="center"/>
        <w:rPr>
          <w:rFonts w:cs="Times New Roman"/>
          <w:b/>
          <w:sz w:val="28"/>
          <w:szCs w:val="28"/>
        </w:rPr>
      </w:pPr>
      <w:r w:rsidRPr="002D634B">
        <w:rPr>
          <w:rFonts w:cs="Times New Roman"/>
          <w:b/>
          <w:sz w:val="28"/>
          <w:szCs w:val="28"/>
        </w:rPr>
        <w:lastRenderedPageBreak/>
        <w:t>Lébény Város Önkormányzat Képviselő-testületének</w:t>
      </w:r>
    </w:p>
    <w:p w:rsidR="004D133B" w:rsidRPr="002D634B" w:rsidRDefault="004D133B" w:rsidP="004D133B">
      <w:pPr>
        <w:pStyle w:val="Szvegtrzs"/>
        <w:spacing w:after="0"/>
        <w:jc w:val="center"/>
        <w:rPr>
          <w:rFonts w:cs="Times New Roman"/>
          <w:b/>
          <w:sz w:val="28"/>
          <w:szCs w:val="28"/>
        </w:rPr>
      </w:pPr>
      <w:r w:rsidRPr="002D634B">
        <w:rPr>
          <w:rFonts w:cs="Times New Roman"/>
          <w:b/>
          <w:sz w:val="28"/>
          <w:szCs w:val="28"/>
        </w:rPr>
        <w:t xml:space="preserve"> ...</w:t>
      </w:r>
      <w:r w:rsidRPr="002D634B">
        <w:rPr>
          <w:rFonts w:cs="Times New Roman"/>
          <w:b/>
          <w:color w:val="000000"/>
          <w:sz w:val="28"/>
          <w:szCs w:val="28"/>
        </w:rPr>
        <w:t>/201</w:t>
      </w:r>
      <w:r>
        <w:rPr>
          <w:rFonts w:cs="Times New Roman"/>
          <w:b/>
          <w:color w:val="000000"/>
          <w:sz w:val="28"/>
          <w:szCs w:val="28"/>
        </w:rPr>
        <w:t>6</w:t>
      </w:r>
      <w:r w:rsidRPr="002D634B">
        <w:rPr>
          <w:rFonts w:cs="Times New Roman"/>
          <w:b/>
          <w:color w:val="000000"/>
          <w:sz w:val="28"/>
          <w:szCs w:val="28"/>
        </w:rPr>
        <w:t xml:space="preserve"> (</w:t>
      </w:r>
      <w:proofErr w:type="gramStart"/>
      <w:r w:rsidRPr="002D634B">
        <w:rPr>
          <w:rFonts w:cs="Times New Roman"/>
          <w:b/>
          <w:color w:val="000000"/>
          <w:sz w:val="28"/>
          <w:szCs w:val="28"/>
        </w:rPr>
        <w:t>…...</w:t>
      </w:r>
      <w:proofErr w:type="gramEnd"/>
      <w:r w:rsidRPr="002D634B">
        <w:rPr>
          <w:rFonts w:cs="Times New Roman"/>
          <w:b/>
          <w:color w:val="000000"/>
          <w:sz w:val="28"/>
          <w:szCs w:val="28"/>
        </w:rPr>
        <w:t xml:space="preserve">)  önkormányzati </w:t>
      </w:r>
      <w:r w:rsidRPr="002D634B">
        <w:rPr>
          <w:rFonts w:cs="Times New Roman"/>
          <w:b/>
          <w:sz w:val="28"/>
          <w:szCs w:val="28"/>
        </w:rPr>
        <w:t xml:space="preserve">rendelete </w:t>
      </w:r>
    </w:p>
    <w:p w:rsidR="004D133B" w:rsidRPr="002D634B" w:rsidRDefault="004D133B" w:rsidP="004D133B">
      <w:pPr>
        <w:pStyle w:val="Szvegtrzs"/>
        <w:spacing w:after="0"/>
        <w:jc w:val="center"/>
        <w:rPr>
          <w:rFonts w:cs="Times New Roman"/>
          <w:b/>
          <w:sz w:val="28"/>
          <w:szCs w:val="28"/>
        </w:rPr>
      </w:pPr>
      <w:r w:rsidRPr="002D634B">
        <w:rPr>
          <w:rFonts w:cs="Times New Roman"/>
          <w:b/>
          <w:sz w:val="28"/>
          <w:szCs w:val="28"/>
        </w:rPr>
        <w:t xml:space="preserve">Lébény Város Önkormányzat </w:t>
      </w:r>
    </w:p>
    <w:p w:rsidR="004D133B" w:rsidRPr="002D634B" w:rsidRDefault="004D133B" w:rsidP="004D133B">
      <w:pPr>
        <w:pStyle w:val="Szvegtrzs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2015. évi költségvetési</w:t>
      </w:r>
      <w:r w:rsidRPr="002D634B">
        <w:rPr>
          <w:rFonts w:cs="Times New Roman"/>
          <w:b/>
          <w:sz w:val="28"/>
          <w:szCs w:val="28"/>
        </w:rPr>
        <w:t xml:space="preserve"> zárszámadásáról</w:t>
      </w:r>
    </w:p>
    <w:p w:rsidR="004D133B" w:rsidRPr="008E234D" w:rsidRDefault="004D133B" w:rsidP="004D133B">
      <w:pPr>
        <w:pStyle w:val="Szvegtrzs"/>
        <w:spacing w:after="0"/>
        <w:jc w:val="center"/>
        <w:rPr>
          <w:rFonts w:cs="Times New Roman"/>
          <w:b/>
        </w:rPr>
      </w:pPr>
    </w:p>
    <w:p w:rsidR="004D133B" w:rsidRPr="008E234D" w:rsidRDefault="004D133B" w:rsidP="004D133B">
      <w:pPr>
        <w:pStyle w:val="Szvegtrzs"/>
        <w:spacing w:after="0"/>
        <w:jc w:val="center"/>
        <w:rPr>
          <w:rFonts w:cs="Times New Roman"/>
        </w:rPr>
      </w:pPr>
    </w:p>
    <w:p w:rsidR="004D133B" w:rsidRPr="008E234D" w:rsidRDefault="004D133B" w:rsidP="004D133B">
      <w:pPr>
        <w:pStyle w:val="Szvegtrzs"/>
        <w:spacing w:after="200"/>
        <w:jc w:val="both"/>
        <w:rPr>
          <w:rFonts w:cs="Times New Roman"/>
        </w:rPr>
      </w:pPr>
      <w:r w:rsidRPr="008E234D">
        <w:rPr>
          <w:rFonts w:cs="Times New Roman"/>
        </w:rPr>
        <w:t>Lébény Város Önkormányzatának Képviselő-testülete az Alaptörvény 32. cikk (2) bekezdésében meghatározott eredeti jogalkotói hatáskörében, az Alaptörvény 32. cikk (1) bekezdés f) pontjában meghatározott feladatkörében eljárva a következőket rendeli:</w:t>
      </w:r>
    </w:p>
    <w:p w:rsidR="004D133B" w:rsidRPr="008E234D" w:rsidRDefault="004D133B" w:rsidP="004D133B">
      <w:pPr>
        <w:pStyle w:val="Szvegtrzs"/>
        <w:spacing w:after="0"/>
        <w:rPr>
          <w:rFonts w:cs="Times New Roman"/>
        </w:rPr>
      </w:pPr>
    </w:p>
    <w:p w:rsidR="004D133B" w:rsidRPr="008E234D" w:rsidRDefault="004D133B" w:rsidP="004D133B">
      <w:pPr>
        <w:jc w:val="center"/>
        <w:rPr>
          <w:b/>
        </w:rPr>
      </w:pPr>
      <w:r w:rsidRPr="008E234D">
        <w:rPr>
          <w:b/>
        </w:rPr>
        <w:t>1.§</w:t>
      </w:r>
    </w:p>
    <w:p w:rsidR="004D133B" w:rsidRDefault="004D133B" w:rsidP="004D133B">
      <w:pPr>
        <w:jc w:val="center"/>
        <w:rPr>
          <w:b/>
        </w:rPr>
      </w:pPr>
      <w:r w:rsidRPr="008E234D">
        <w:rPr>
          <w:b/>
        </w:rPr>
        <w:t>A rendelet hatálya</w:t>
      </w:r>
    </w:p>
    <w:p w:rsidR="004D133B" w:rsidRPr="008E234D" w:rsidRDefault="004D133B" w:rsidP="004D133B">
      <w:pPr>
        <w:jc w:val="center"/>
        <w:rPr>
          <w:b/>
        </w:rPr>
      </w:pPr>
    </w:p>
    <w:p w:rsidR="004D133B" w:rsidRDefault="004D133B" w:rsidP="004D133B">
      <w:pPr>
        <w:pStyle w:val="Szvegtrzs"/>
        <w:jc w:val="both"/>
        <w:rPr>
          <w:sz w:val="22"/>
          <w:szCs w:val="22"/>
        </w:rPr>
      </w:pPr>
      <w:r w:rsidRPr="008E234D">
        <w:t xml:space="preserve">A rendelet hatálya a képviselő-testületre, annak bizottságaira és az önkormányzati hivatalra </w:t>
      </w:r>
      <w:r>
        <w:t xml:space="preserve">és az </w:t>
      </w:r>
      <w:r>
        <w:rPr>
          <w:sz w:val="22"/>
          <w:szCs w:val="22"/>
        </w:rPr>
        <w:t>önkormányzat irányítása alá tartozó költségvetési szervekre terjed ki.</w:t>
      </w:r>
    </w:p>
    <w:p w:rsidR="004D133B" w:rsidRDefault="004D133B" w:rsidP="004D133B">
      <w:pPr>
        <w:jc w:val="center"/>
        <w:rPr>
          <w:b/>
        </w:rPr>
      </w:pPr>
    </w:p>
    <w:p w:rsidR="004D133B" w:rsidRPr="008E234D" w:rsidRDefault="004D133B" w:rsidP="004D133B">
      <w:pPr>
        <w:jc w:val="center"/>
        <w:rPr>
          <w:b/>
        </w:rPr>
      </w:pPr>
      <w:r w:rsidRPr="008E234D">
        <w:rPr>
          <w:b/>
        </w:rPr>
        <w:t xml:space="preserve">2.§ </w:t>
      </w:r>
    </w:p>
    <w:p w:rsidR="004D133B" w:rsidRPr="008E234D" w:rsidRDefault="004D133B" w:rsidP="004D133B">
      <w:pPr>
        <w:jc w:val="center"/>
        <w:rPr>
          <w:b/>
        </w:rPr>
      </w:pPr>
      <w:r w:rsidRPr="008E234D">
        <w:rPr>
          <w:b/>
        </w:rPr>
        <w:t xml:space="preserve">Az Önkormányzat és költségvetési szervei </w:t>
      </w:r>
      <w:r>
        <w:rPr>
          <w:b/>
        </w:rPr>
        <w:t>2015</w:t>
      </w:r>
      <w:r w:rsidRPr="008E234D">
        <w:rPr>
          <w:b/>
        </w:rPr>
        <w:t>. évi költségvetésének teljesítése.</w:t>
      </w:r>
    </w:p>
    <w:p w:rsidR="004D133B" w:rsidRPr="008E234D" w:rsidRDefault="004D133B" w:rsidP="004D133B">
      <w:pPr>
        <w:jc w:val="center"/>
        <w:rPr>
          <w:b/>
        </w:rPr>
      </w:pPr>
    </w:p>
    <w:p w:rsidR="004D133B" w:rsidRPr="008E234D" w:rsidRDefault="004D133B" w:rsidP="004D133B">
      <w:pPr>
        <w:numPr>
          <w:ilvl w:val="0"/>
          <w:numId w:val="4"/>
        </w:numPr>
        <w:spacing w:after="0" w:line="240" w:lineRule="auto"/>
        <w:ind w:left="426" w:hanging="426"/>
        <w:jc w:val="both"/>
      </w:pPr>
      <w:r w:rsidRPr="008E234D">
        <w:t xml:space="preserve">A Képviselő-testület az Önkormányzat </w:t>
      </w:r>
      <w:r>
        <w:t>2015</w:t>
      </w:r>
      <w:r w:rsidRPr="008E234D">
        <w:t>. évi költségvetésének teljesítését</w:t>
      </w:r>
    </w:p>
    <w:p w:rsidR="004D133B" w:rsidRPr="008E234D" w:rsidRDefault="004D133B" w:rsidP="004D133B">
      <w:pPr>
        <w:pStyle w:val="Szvegtrzs"/>
        <w:tabs>
          <w:tab w:val="left" w:pos="2835"/>
          <w:tab w:val="right" w:pos="6804"/>
        </w:tabs>
        <w:spacing w:after="0"/>
        <w:jc w:val="center"/>
        <w:rPr>
          <w:b/>
        </w:rPr>
      </w:pPr>
      <w:r>
        <w:rPr>
          <w:b/>
        </w:rPr>
        <w:t>668858 E</w:t>
      </w:r>
      <w:r w:rsidRPr="008E234D">
        <w:rPr>
          <w:b/>
        </w:rPr>
        <w:t xml:space="preserve"> Ft bevétellel</w:t>
      </w:r>
    </w:p>
    <w:p w:rsidR="004D133B" w:rsidRPr="008E234D" w:rsidRDefault="004D133B" w:rsidP="004D133B">
      <w:pPr>
        <w:pStyle w:val="Szvegtrzs"/>
        <w:tabs>
          <w:tab w:val="left" w:pos="2835"/>
          <w:tab w:val="right" w:pos="6804"/>
        </w:tabs>
        <w:spacing w:after="0"/>
        <w:jc w:val="center"/>
        <w:rPr>
          <w:b/>
        </w:rPr>
      </w:pPr>
      <w:r>
        <w:rPr>
          <w:b/>
        </w:rPr>
        <w:t>582092</w:t>
      </w:r>
      <w:r w:rsidRPr="008E234D">
        <w:rPr>
          <w:b/>
        </w:rPr>
        <w:t xml:space="preserve"> </w:t>
      </w:r>
      <w:r>
        <w:rPr>
          <w:b/>
        </w:rPr>
        <w:t>E</w:t>
      </w:r>
      <w:r w:rsidRPr="008E234D">
        <w:rPr>
          <w:b/>
        </w:rPr>
        <w:t xml:space="preserve"> Ft kiadással</w:t>
      </w:r>
    </w:p>
    <w:p w:rsidR="004D133B" w:rsidRPr="008E234D" w:rsidRDefault="004D133B" w:rsidP="004D133B">
      <w:pPr>
        <w:pStyle w:val="Szvegtrzs"/>
        <w:tabs>
          <w:tab w:val="left" w:pos="2835"/>
          <w:tab w:val="right" w:pos="6804"/>
        </w:tabs>
        <w:spacing w:after="0"/>
        <w:jc w:val="both"/>
      </w:pPr>
      <w:proofErr w:type="gramStart"/>
      <w:r w:rsidRPr="008E234D">
        <w:t>hagyja</w:t>
      </w:r>
      <w:proofErr w:type="gramEnd"/>
      <w:r w:rsidRPr="008E234D">
        <w:t xml:space="preserve"> jóvá. </w:t>
      </w:r>
    </w:p>
    <w:p w:rsidR="004D133B" w:rsidRPr="008E234D" w:rsidRDefault="004D133B" w:rsidP="004D133B">
      <w:pPr>
        <w:tabs>
          <w:tab w:val="left" w:pos="3686"/>
        </w:tabs>
        <w:jc w:val="both"/>
      </w:pPr>
    </w:p>
    <w:p w:rsidR="004D133B" w:rsidRPr="008E234D" w:rsidRDefault="004D133B" w:rsidP="004D133B">
      <w:pPr>
        <w:pStyle w:val="Szvegtrzs"/>
        <w:spacing w:after="0"/>
        <w:jc w:val="both"/>
      </w:pPr>
      <w:r w:rsidRPr="008E234D">
        <w:t xml:space="preserve">(2) </w:t>
      </w:r>
      <w:r>
        <w:t>A 2015</w:t>
      </w:r>
      <w:r w:rsidRPr="008E234D">
        <w:t xml:space="preserve">. évi költségvetési beszámoló pénzügyi </w:t>
      </w:r>
      <w:r>
        <w:t xml:space="preserve">mérlegét az 1. számú mellékletnek megfelelően fogadja el. </w:t>
      </w:r>
    </w:p>
    <w:p w:rsidR="004D133B" w:rsidRPr="008E234D" w:rsidRDefault="004D133B" w:rsidP="004D133B">
      <w:pPr>
        <w:pStyle w:val="Szvegtrzs"/>
        <w:spacing w:after="0"/>
        <w:jc w:val="both"/>
      </w:pPr>
    </w:p>
    <w:p w:rsidR="004D133B" w:rsidRPr="008E234D" w:rsidRDefault="004D133B" w:rsidP="004D133B">
      <w:pPr>
        <w:jc w:val="center"/>
        <w:rPr>
          <w:b/>
        </w:rPr>
      </w:pPr>
    </w:p>
    <w:p w:rsidR="004D133B" w:rsidRPr="008E234D" w:rsidRDefault="004D133B" w:rsidP="004D133B">
      <w:pPr>
        <w:jc w:val="center"/>
        <w:rPr>
          <w:b/>
        </w:rPr>
      </w:pPr>
      <w:r w:rsidRPr="008E234D">
        <w:rPr>
          <w:b/>
        </w:rPr>
        <w:t>3. §</w:t>
      </w:r>
    </w:p>
    <w:p w:rsidR="004D133B" w:rsidRPr="008E234D" w:rsidRDefault="004D133B" w:rsidP="004D133B">
      <w:pPr>
        <w:jc w:val="center"/>
        <w:rPr>
          <w:b/>
        </w:rPr>
      </w:pPr>
    </w:p>
    <w:p w:rsidR="004D133B" w:rsidRDefault="004D133B" w:rsidP="004D133B">
      <w:pPr>
        <w:jc w:val="both"/>
      </w:pPr>
      <w:r w:rsidRPr="008E234D">
        <w:t xml:space="preserve">A Képviselő-testület az Önkormányzat </w:t>
      </w:r>
      <w:r>
        <w:t>2015</w:t>
      </w:r>
      <w:r w:rsidRPr="008E234D">
        <w:t>. évi zárszámadását részletesen a következők szerint fogadja el:</w:t>
      </w:r>
    </w:p>
    <w:p w:rsidR="004D133B" w:rsidRPr="008E234D" w:rsidRDefault="004D133B" w:rsidP="004D133B">
      <w:pPr>
        <w:jc w:val="both"/>
      </w:pP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 xml:space="preserve">. évi költségvetési </w:t>
      </w:r>
      <w:r>
        <w:t xml:space="preserve">beszámoló bevételeit és kiadásait a 2.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8E234D">
        <w:t xml:space="preserve"> </w:t>
      </w:r>
      <w:r>
        <w:t>A 2015</w:t>
      </w:r>
      <w:r w:rsidRPr="008E234D">
        <w:t xml:space="preserve">. évi költségvetési beszámoló </w:t>
      </w:r>
      <w:r>
        <w:t>ö</w:t>
      </w:r>
      <w:r w:rsidRPr="008E234D">
        <w:t>nkormányzat</w:t>
      </w:r>
      <w:r>
        <w:t>i</w:t>
      </w:r>
      <w:r w:rsidRPr="008E234D">
        <w:t xml:space="preserve"> bevételei</w:t>
      </w:r>
      <w:r>
        <w:t xml:space="preserve">t a 3.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8E234D">
        <w:t xml:space="preserve"> </w:t>
      </w:r>
      <w:r>
        <w:t>A 2015</w:t>
      </w:r>
      <w:r w:rsidRPr="008E234D">
        <w:t xml:space="preserve">. évi költségvetési beszámoló </w:t>
      </w:r>
      <w:r>
        <w:t>ö</w:t>
      </w:r>
      <w:r w:rsidRPr="008E234D">
        <w:t>nkormányzat</w:t>
      </w:r>
      <w:r>
        <w:t>i</w:t>
      </w:r>
      <w:r w:rsidRPr="008E234D">
        <w:t xml:space="preserve"> kiadásai</w:t>
      </w:r>
      <w:r>
        <w:t xml:space="preserve">t a 4.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lastRenderedPageBreak/>
        <w:t>A</w:t>
      </w:r>
      <w:r w:rsidRPr="008E234D">
        <w:t xml:space="preserve"> költségvetési szervek bevételei</w:t>
      </w:r>
      <w:r>
        <w:t xml:space="preserve">t az 5.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A </w:t>
      </w:r>
      <w:r w:rsidRPr="008E234D">
        <w:t>költségvetési szervek kiadásai</w:t>
      </w:r>
      <w:r>
        <w:t xml:space="preserve">t a 6.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</w:t>
      </w:r>
      <w:r w:rsidRPr="008E234D">
        <w:t>z önkormányzat és költségvetési szerveinek létszám adatai</w:t>
      </w:r>
      <w:r>
        <w:t xml:space="preserve">t a 7.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 beszámoló felhalmozási kiadásai</w:t>
      </w:r>
      <w:r>
        <w:t>t a 8. a számú mellékletnek megfelelően hagyja jóvá.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 beszámoló költségvetési intézmények felhalmozási kiadásai</w:t>
      </w:r>
      <w:r>
        <w:t>t a 8</w:t>
      </w:r>
      <w:proofErr w:type="gramStart"/>
      <w:r>
        <w:t>.b</w:t>
      </w:r>
      <w:proofErr w:type="gramEnd"/>
      <w:r>
        <w:t xml:space="preserve">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 beszámoló önkormányzat</w:t>
      </w:r>
      <w:r>
        <w:t>i</w:t>
      </w:r>
      <w:r w:rsidRPr="008E234D">
        <w:t xml:space="preserve"> személyi és munkaadót terhelő járulékai</w:t>
      </w:r>
      <w:r>
        <w:t>t a 9</w:t>
      </w:r>
      <w:proofErr w:type="gramStart"/>
      <w:r>
        <w:t>.a</w:t>
      </w:r>
      <w:proofErr w:type="gramEnd"/>
      <w:r>
        <w:t xml:space="preserve">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ind w:left="426" w:firstLine="0"/>
        <w:jc w:val="both"/>
      </w:pPr>
      <w:r>
        <w:t>A 2015</w:t>
      </w:r>
      <w:r w:rsidRPr="008E234D">
        <w:t xml:space="preserve">. évi költségvetési beszámoló </w:t>
      </w:r>
      <w:r>
        <w:t>önkormányzati dologi kiadásait a 9</w:t>
      </w:r>
      <w:proofErr w:type="gramStart"/>
      <w:r>
        <w:t>.b</w:t>
      </w:r>
      <w:proofErr w:type="gramEnd"/>
      <w:r>
        <w:t xml:space="preserve">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</w:t>
      </w:r>
      <w:r w:rsidRPr="008E234D">
        <w:t xml:space="preserve"> </w:t>
      </w:r>
      <w:r>
        <w:t>2015</w:t>
      </w:r>
      <w:r w:rsidRPr="008E234D">
        <w:t xml:space="preserve">. évi költségvetési beszámoló </w:t>
      </w:r>
      <w:r>
        <w:t xml:space="preserve">szociális kiadásait a 10.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 xml:space="preserve">. évi költségvetési beszámoló </w:t>
      </w:r>
      <w:r>
        <w:t xml:space="preserve">véglegesen átadott pénzeszközeit a 11.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 beszámoló adósságot keletkeztető ügyletei</w:t>
      </w:r>
      <w:r>
        <w:t xml:space="preserve">t a 12.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 xml:space="preserve">. évi költségvetési beszámoló </w:t>
      </w:r>
      <w:r>
        <w:t xml:space="preserve">saját bevételeit a 13.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Az </w:t>
      </w:r>
      <w:r w:rsidRPr="008E234D">
        <w:t>adatszolgáltatás</w:t>
      </w:r>
      <w:r>
        <w:t>t</w:t>
      </w:r>
      <w:r w:rsidRPr="008E234D">
        <w:t xml:space="preserve"> a tartozás állományról</w:t>
      </w:r>
      <w:r>
        <w:t xml:space="preserve"> a 14. számú mellékletnek megfelelően hagyja jóvá. </w:t>
      </w:r>
    </w:p>
    <w:p w:rsidR="004D133B" w:rsidRPr="008E234D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 xml:space="preserve">. évi költségvetési beszámoló </w:t>
      </w:r>
      <w:r>
        <w:t>EU támogatásos projektjeit a 15. számú mellékletnek megfelelően hagyja jóvá.</w:t>
      </w:r>
    </w:p>
    <w:p w:rsidR="004D133B" w:rsidRPr="008E234D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</w:t>
      </w:r>
      <w:r>
        <w:t xml:space="preserve"> beszámoló közvetett támogatásait a 16.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 beszámoló többév</w:t>
      </w:r>
      <w:r>
        <w:t>es hatással járó kötelezettségeit a 17. számú mellékletnek megfelelően hagyja jóvá.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 bes</w:t>
      </w:r>
      <w:r>
        <w:t xml:space="preserve">zámoló előirányzat felhasználását a 18.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költségvetési b</w:t>
      </w:r>
      <w:r>
        <w:t xml:space="preserve">eszámoló hitelállomány alakulását a 19.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</w:t>
      </w:r>
      <w:r w:rsidRPr="008E234D">
        <w:t xml:space="preserve"> </w:t>
      </w:r>
      <w:r>
        <w:t>2015</w:t>
      </w:r>
      <w:r w:rsidRPr="008E234D">
        <w:t>. évi költségvetési beszámoló állami támogatások</w:t>
      </w:r>
      <w:r>
        <w:t xml:space="preserve">at a 20.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 xml:space="preserve">. évi </w:t>
      </w:r>
      <w:r>
        <w:t xml:space="preserve">konszolidált </w:t>
      </w:r>
      <w:r w:rsidRPr="008E234D">
        <w:t>mérleg</w:t>
      </w:r>
      <w:r>
        <w:t xml:space="preserve">ét a </w:t>
      </w:r>
      <w:r w:rsidRPr="008E234D">
        <w:t>21</w:t>
      </w:r>
      <w:r>
        <w:t xml:space="preserve">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 xml:space="preserve">. évi </w:t>
      </w:r>
      <w:r>
        <w:t xml:space="preserve">konszolidált </w:t>
      </w:r>
      <w:r w:rsidRPr="008E234D">
        <w:t>eredmény kimutatás</w:t>
      </w:r>
      <w:r>
        <w:t xml:space="preserve">t a </w:t>
      </w:r>
      <w:r w:rsidRPr="008E234D">
        <w:t>22</w:t>
      </w:r>
      <w:r>
        <w:t xml:space="preserve">. számú mellékletnek megfelelően hagyja jóvá. </w:t>
      </w:r>
    </w:p>
    <w:p w:rsidR="004D133B" w:rsidRDefault="004D133B" w:rsidP="004D133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A 2015</w:t>
      </w:r>
      <w:r w:rsidRPr="008E234D">
        <w:t>. évi maradvány kimutatás</w:t>
      </w:r>
      <w:r>
        <w:t xml:space="preserve">át a </w:t>
      </w:r>
      <w:r w:rsidRPr="008E234D">
        <w:t>23a) és 23b).</w:t>
      </w:r>
      <w:r>
        <w:t xml:space="preserve">. számú mellékletnek megfelelően hagyja jóvá. </w:t>
      </w:r>
    </w:p>
    <w:p w:rsidR="004D133B" w:rsidRPr="008E234D" w:rsidRDefault="004D133B" w:rsidP="004D133B">
      <w:pPr>
        <w:jc w:val="both"/>
      </w:pPr>
    </w:p>
    <w:p w:rsidR="004D133B" w:rsidRPr="008E234D" w:rsidRDefault="004D133B" w:rsidP="004D133B">
      <w:pPr>
        <w:pStyle w:val="Szvegtrzs"/>
        <w:spacing w:after="0"/>
        <w:jc w:val="both"/>
      </w:pPr>
    </w:p>
    <w:p w:rsidR="004D133B" w:rsidRPr="008E234D" w:rsidRDefault="004D133B" w:rsidP="004D133B">
      <w:pPr>
        <w:pStyle w:val="Szvegtrzs"/>
        <w:spacing w:after="0"/>
        <w:ind w:left="900" w:hanging="360"/>
        <w:jc w:val="center"/>
      </w:pPr>
      <w:r>
        <w:rPr>
          <w:b/>
        </w:rPr>
        <w:t>3</w:t>
      </w:r>
      <w:r w:rsidRPr="008E234D">
        <w:rPr>
          <w:b/>
        </w:rPr>
        <w:t xml:space="preserve">. </w:t>
      </w:r>
      <w:r w:rsidRPr="008E234D">
        <w:t>§</w:t>
      </w:r>
    </w:p>
    <w:p w:rsidR="004D133B" w:rsidRPr="008E234D" w:rsidRDefault="004D133B" w:rsidP="004D133B">
      <w:pPr>
        <w:pStyle w:val="Szvegtrzs"/>
        <w:spacing w:after="0"/>
      </w:pPr>
    </w:p>
    <w:p w:rsidR="004D133B" w:rsidRPr="008E234D" w:rsidRDefault="004D133B" w:rsidP="004D133B">
      <w:pPr>
        <w:pStyle w:val="Szvegtrzs"/>
        <w:spacing w:after="0"/>
        <w:jc w:val="both"/>
      </w:pPr>
      <w:r w:rsidRPr="008E234D">
        <w:t xml:space="preserve">A költségvetés végrehajtásának </w:t>
      </w:r>
      <w:r>
        <w:t>2015</w:t>
      </w:r>
      <w:r w:rsidRPr="008E234D">
        <w:t>. évi fejlesztési, felújítási kiadásait a 8.</w:t>
      </w:r>
      <w:proofErr w:type="gramStart"/>
      <w:r w:rsidRPr="008E234D">
        <w:t>a</w:t>
      </w:r>
      <w:proofErr w:type="gramEnd"/>
      <w:r w:rsidRPr="008E234D">
        <w:t xml:space="preserve"> és 8.b számú melléklet szerint állapítja meg.</w:t>
      </w:r>
    </w:p>
    <w:p w:rsidR="004D133B" w:rsidRPr="008E234D" w:rsidRDefault="004D133B" w:rsidP="004D133B">
      <w:pPr>
        <w:pStyle w:val="Szvegtrzs"/>
        <w:spacing w:after="0"/>
        <w:jc w:val="both"/>
      </w:pPr>
    </w:p>
    <w:p w:rsidR="004D133B" w:rsidRPr="008E234D" w:rsidRDefault="004D133B" w:rsidP="004D133B">
      <w:pPr>
        <w:pStyle w:val="Szvegtrzs"/>
        <w:spacing w:after="0"/>
        <w:ind w:left="900" w:hanging="360"/>
        <w:jc w:val="center"/>
      </w:pPr>
      <w:r>
        <w:rPr>
          <w:b/>
        </w:rPr>
        <w:t>4</w:t>
      </w:r>
      <w:r w:rsidRPr="008E234D">
        <w:rPr>
          <w:b/>
        </w:rPr>
        <w:t xml:space="preserve">. </w:t>
      </w:r>
      <w:r w:rsidRPr="008E234D">
        <w:t>§</w:t>
      </w:r>
    </w:p>
    <w:p w:rsidR="004D133B" w:rsidRPr="008E234D" w:rsidRDefault="004D133B" w:rsidP="004D133B">
      <w:pPr>
        <w:pStyle w:val="Szvegtrzs"/>
        <w:spacing w:after="0"/>
        <w:ind w:left="540"/>
        <w:rPr>
          <w:rFonts w:cs="Times New Roman"/>
        </w:rPr>
      </w:pPr>
    </w:p>
    <w:p w:rsidR="004D133B" w:rsidRPr="008E234D" w:rsidRDefault="004D133B" w:rsidP="004D133B">
      <w:pPr>
        <w:pStyle w:val="Szvegtrzs"/>
        <w:spacing w:after="0"/>
        <w:jc w:val="both"/>
        <w:rPr>
          <w:rFonts w:cs="Times New Roman"/>
        </w:rPr>
      </w:pPr>
      <w:r w:rsidRPr="008E234D">
        <w:rPr>
          <w:rFonts w:cs="Times New Roman"/>
        </w:rPr>
        <w:t>(1) Ez a rendelet kihirdetése napját követő napon lép hatályba.</w:t>
      </w:r>
    </w:p>
    <w:p w:rsidR="004D133B" w:rsidRPr="008E234D" w:rsidRDefault="004D133B" w:rsidP="004D133B">
      <w:pPr>
        <w:pStyle w:val="Szvegtrzs"/>
        <w:jc w:val="both"/>
        <w:rPr>
          <w:rFonts w:cs="Times New Roman"/>
        </w:rPr>
      </w:pPr>
      <w:r w:rsidRPr="008E234D">
        <w:rPr>
          <w:rFonts w:cs="Times New Roman"/>
        </w:rPr>
        <w:t xml:space="preserve">(2) Hatályát veszti Lébény Város Önkormányzat </w:t>
      </w:r>
      <w:proofErr w:type="gramStart"/>
      <w:r w:rsidRPr="008E234D">
        <w:rPr>
          <w:rFonts w:cs="Times New Roman"/>
        </w:rPr>
        <w:t xml:space="preserve">Képviselő-testületének </w:t>
      </w:r>
      <w:r>
        <w:rPr>
          <w:rFonts w:cs="Times New Roman"/>
        </w:rPr>
        <w:t>….</w:t>
      </w:r>
      <w:proofErr w:type="gramEnd"/>
      <w:r>
        <w:rPr>
          <w:rFonts w:cs="Times New Roman"/>
        </w:rPr>
        <w:t>.</w:t>
      </w:r>
      <w:r w:rsidRPr="008E234D">
        <w:rPr>
          <w:rFonts w:cs="Times New Roman"/>
        </w:rPr>
        <w:t>/</w:t>
      </w:r>
      <w:r>
        <w:rPr>
          <w:rFonts w:cs="Times New Roman"/>
        </w:rPr>
        <w:t>2015</w:t>
      </w:r>
      <w:r w:rsidRPr="008E234D">
        <w:rPr>
          <w:rFonts w:cs="Times New Roman"/>
        </w:rPr>
        <w:t>.(</w:t>
      </w:r>
      <w:r>
        <w:rPr>
          <w:rFonts w:cs="Times New Roman"/>
        </w:rPr>
        <w:t>…..</w:t>
      </w:r>
      <w:r w:rsidRPr="008E234D">
        <w:rPr>
          <w:rFonts w:cs="Times New Roman"/>
        </w:rPr>
        <w:t xml:space="preserve">.) rendelete Lébény Város Önkormányzat </w:t>
      </w:r>
      <w:r>
        <w:rPr>
          <w:rFonts w:cs="Times New Roman"/>
        </w:rPr>
        <w:t>2015</w:t>
      </w:r>
      <w:r w:rsidRPr="008E234D">
        <w:rPr>
          <w:rFonts w:cs="Times New Roman"/>
        </w:rPr>
        <w:t xml:space="preserve">. évi költségvetéséről. </w:t>
      </w:r>
    </w:p>
    <w:p w:rsidR="004D133B" w:rsidRPr="008E234D" w:rsidRDefault="004D133B" w:rsidP="004D133B">
      <w:pPr>
        <w:pStyle w:val="Szvegtrzs"/>
        <w:spacing w:after="0"/>
        <w:jc w:val="both"/>
        <w:rPr>
          <w:rFonts w:cs="Times New Roman"/>
        </w:rPr>
      </w:pPr>
    </w:p>
    <w:p w:rsidR="004D133B" w:rsidRPr="008E234D" w:rsidRDefault="004D133B" w:rsidP="004D133B">
      <w:pPr>
        <w:pStyle w:val="Szvegtrzs"/>
        <w:spacing w:after="0"/>
        <w:jc w:val="both"/>
        <w:rPr>
          <w:rFonts w:cs="Times New Roman"/>
        </w:rPr>
      </w:pPr>
    </w:p>
    <w:p w:rsidR="004D133B" w:rsidRPr="008E234D" w:rsidRDefault="004D133B" w:rsidP="004D133B">
      <w:pPr>
        <w:pStyle w:val="Szvegtrzs"/>
        <w:spacing w:after="0"/>
        <w:jc w:val="both"/>
        <w:rPr>
          <w:rFonts w:cs="Times New Roman"/>
        </w:rPr>
      </w:pPr>
      <w:r w:rsidRPr="008E234D">
        <w:rPr>
          <w:rFonts w:cs="Times New Roman"/>
        </w:rPr>
        <w:tab/>
        <w:t xml:space="preserve">                 Kovács </w:t>
      </w:r>
      <w:proofErr w:type="gramStart"/>
      <w:r w:rsidRPr="008E234D">
        <w:rPr>
          <w:rFonts w:cs="Times New Roman"/>
        </w:rPr>
        <w:t>Gábor                                                              dr.</w:t>
      </w:r>
      <w:proofErr w:type="gramEnd"/>
      <w:r w:rsidRPr="008E234D">
        <w:rPr>
          <w:rFonts w:cs="Times New Roman"/>
        </w:rPr>
        <w:t xml:space="preserve"> Tóth Tünde</w:t>
      </w:r>
    </w:p>
    <w:p w:rsidR="004D133B" w:rsidRPr="008E234D" w:rsidRDefault="004D133B" w:rsidP="004D133B">
      <w:pPr>
        <w:pStyle w:val="Szvegtrzs"/>
        <w:spacing w:after="0"/>
        <w:jc w:val="both"/>
        <w:rPr>
          <w:rFonts w:cs="Times New Roman"/>
        </w:rPr>
      </w:pPr>
      <w:r w:rsidRPr="008E234D">
        <w:rPr>
          <w:rFonts w:cs="Times New Roman"/>
        </w:rPr>
        <w:t xml:space="preserve">                             </w:t>
      </w:r>
      <w:proofErr w:type="gramStart"/>
      <w:r w:rsidRPr="008E234D">
        <w:rPr>
          <w:rFonts w:cs="Times New Roman"/>
        </w:rPr>
        <w:t>polgármester</w:t>
      </w:r>
      <w:proofErr w:type="gramEnd"/>
      <w:r w:rsidRPr="008E234D">
        <w:rPr>
          <w:rFonts w:cs="Times New Roman"/>
        </w:rPr>
        <w:t xml:space="preserve">                                                                         jegyző</w:t>
      </w:r>
    </w:p>
    <w:p w:rsidR="004D133B" w:rsidRPr="008E234D" w:rsidRDefault="004D133B" w:rsidP="004D133B">
      <w:pPr>
        <w:rPr>
          <w:rFonts w:cs="Times New Roman"/>
        </w:rPr>
      </w:pPr>
    </w:p>
    <w:p w:rsidR="004D133B" w:rsidRPr="008E234D" w:rsidRDefault="004D133B" w:rsidP="004D133B">
      <w:pPr>
        <w:rPr>
          <w:rFonts w:cs="Times New Roman"/>
        </w:rPr>
      </w:pPr>
      <w:r w:rsidRPr="008E234D">
        <w:rPr>
          <w:rFonts w:cs="Times New Roman"/>
        </w:rPr>
        <w:t xml:space="preserve">Kihirdetve: </w:t>
      </w:r>
    </w:p>
    <w:p w:rsidR="004D133B" w:rsidRPr="008E234D" w:rsidRDefault="004D133B" w:rsidP="004D133B">
      <w:pPr>
        <w:rPr>
          <w:rFonts w:cs="Times New Roman"/>
        </w:rPr>
      </w:pPr>
    </w:p>
    <w:p w:rsidR="004D133B" w:rsidRPr="008E234D" w:rsidRDefault="004D133B" w:rsidP="004D133B">
      <w:pPr>
        <w:rPr>
          <w:rFonts w:cs="Times New Roman"/>
        </w:rPr>
      </w:pPr>
      <w:r w:rsidRPr="008E234D">
        <w:rPr>
          <w:rFonts w:cs="Times New Roman"/>
        </w:rPr>
        <w:t>Lébény, 201</w:t>
      </w:r>
      <w:r>
        <w:rPr>
          <w:rFonts w:cs="Times New Roman"/>
        </w:rPr>
        <w:t>6</w:t>
      </w:r>
      <w:r w:rsidRPr="008E234D">
        <w:rPr>
          <w:rFonts w:cs="Times New Roman"/>
        </w:rPr>
        <w:t>. április</w:t>
      </w:r>
      <w:proofErr w:type="gramStart"/>
      <w:r w:rsidRPr="008E234D">
        <w:rPr>
          <w:rFonts w:cs="Times New Roman"/>
        </w:rPr>
        <w:t>…..</w:t>
      </w:r>
      <w:proofErr w:type="gramEnd"/>
    </w:p>
    <w:p w:rsidR="004D133B" w:rsidRPr="008E234D" w:rsidRDefault="004D133B" w:rsidP="004D133B">
      <w:pPr>
        <w:rPr>
          <w:rFonts w:cs="Times New Roman"/>
        </w:rPr>
      </w:pPr>
    </w:p>
    <w:p w:rsidR="004D133B" w:rsidRPr="008E234D" w:rsidRDefault="004D133B" w:rsidP="004D133B">
      <w:pPr>
        <w:rPr>
          <w:rFonts w:cs="Times New Roman"/>
        </w:rPr>
      </w:pPr>
    </w:p>
    <w:p w:rsidR="004D133B" w:rsidRPr="008E234D" w:rsidRDefault="004D133B" w:rsidP="004D133B">
      <w:pPr>
        <w:rPr>
          <w:rFonts w:cs="Times New Roman"/>
        </w:rPr>
      </w:pP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proofErr w:type="gramStart"/>
      <w:r w:rsidRPr="008E234D">
        <w:rPr>
          <w:rFonts w:cs="Times New Roman"/>
        </w:rPr>
        <w:t>dr.</w:t>
      </w:r>
      <w:proofErr w:type="gramEnd"/>
      <w:r w:rsidRPr="008E234D">
        <w:rPr>
          <w:rFonts w:cs="Times New Roman"/>
        </w:rPr>
        <w:t xml:space="preserve"> Tóth Tünde</w:t>
      </w:r>
    </w:p>
    <w:p w:rsidR="004D133B" w:rsidRPr="00F47690" w:rsidRDefault="004D133B" w:rsidP="004D133B">
      <w:pPr>
        <w:rPr>
          <w:rFonts w:cs="Times New Roman"/>
        </w:rPr>
      </w:pP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</w:r>
      <w:r w:rsidRPr="008E234D">
        <w:rPr>
          <w:rFonts w:cs="Times New Roman"/>
        </w:rPr>
        <w:tab/>
        <w:t xml:space="preserve">        </w:t>
      </w:r>
      <w:proofErr w:type="gramStart"/>
      <w:r w:rsidRPr="008E234D">
        <w:rPr>
          <w:rFonts w:cs="Times New Roman"/>
        </w:rPr>
        <w:t>jegyző</w:t>
      </w:r>
      <w:proofErr w:type="gramEnd"/>
    </w:p>
    <w:p w:rsidR="004D133B" w:rsidRPr="00861416" w:rsidRDefault="004D133B" w:rsidP="004D133B">
      <w:pPr>
        <w:pStyle w:val="Listaszerbekezds"/>
      </w:pPr>
    </w:p>
    <w:sectPr w:rsidR="004D133B" w:rsidRPr="00861416" w:rsidSect="0086141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DB" w:rsidRDefault="004B55DB" w:rsidP="009A4B11">
      <w:pPr>
        <w:spacing w:after="0" w:line="240" w:lineRule="auto"/>
      </w:pPr>
      <w:r>
        <w:separator/>
      </w:r>
    </w:p>
  </w:endnote>
  <w:endnote w:type="continuationSeparator" w:id="0">
    <w:p w:rsidR="004B55DB" w:rsidRDefault="004B55DB" w:rsidP="009A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507885"/>
      <w:docPartObj>
        <w:docPartGallery w:val="Page Numbers (Bottom of Page)"/>
        <w:docPartUnique/>
      </w:docPartObj>
    </w:sdtPr>
    <w:sdtContent>
      <w:p w:rsidR="009A4B11" w:rsidRDefault="004A2694">
        <w:pPr>
          <w:pStyle w:val="llb"/>
          <w:jc w:val="right"/>
        </w:pPr>
        <w:r>
          <w:fldChar w:fldCharType="begin"/>
        </w:r>
        <w:r w:rsidR="009A4B11">
          <w:instrText>PAGE   \* MERGEFORMAT</w:instrText>
        </w:r>
        <w:r>
          <w:fldChar w:fldCharType="separate"/>
        </w:r>
        <w:r w:rsidR="0072342B">
          <w:rPr>
            <w:noProof/>
          </w:rPr>
          <w:t>1</w:t>
        </w:r>
        <w:r>
          <w:fldChar w:fldCharType="end"/>
        </w:r>
      </w:p>
    </w:sdtContent>
  </w:sdt>
  <w:p w:rsidR="009A4B11" w:rsidRDefault="009A4B1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DB" w:rsidRDefault="004B55DB" w:rsidP="009A4B11">
      <w:pPr>
        <w:spacing w:after="0" w:line="240" w:lineRule="auto"/>
      </w:pPr>
      <w:r>
        <w:separator/>
      </w:r>
    </w:p>
  </w:footnote>
  <w:footnote w:type="continuationSeparator" w:id="0">
    <w:p w:rsidR="004B55DB" w:rsidRDefault="004B55DB" w:rsidP="009A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11" w:rsidRDefault="009A4B11">
    <w:pPr>
      <w:pStyle w:val="lfej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D76"/>
    <w:multiLevelType w:val="hybridMultilevel"/>
    <w:tmpl w:val="57444A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A3110"/>
    <w:multiLevelType w:val="hybridMultilevel"/>
    <w:tmpl w:val="EA30E032"/>
    <w:lvl w:ilvl="0" w:tplc="3CE69C5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6F6D"/>
    <w:multiLevelType w:val="hybridMultilevel"/>
    <w:tmpl w:val="EEBC3260"/>
    <w:lvl w:ilvl="0" w:tplc="0D1C3D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C571F"/>
    <w:multiLevelType w:val="hybridMultilevel"/>
    <w:tmpl w:val="5F0A7C84"/>
    <w:lvl w:ilvl="0" w:tplc="3CE69C5C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3DB3"/>
    <w:multiLevelType w:val="hybridMultilevel"/>
    <w:tmpl w:val="832E1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9D"/>
    <w:rsid w:val="000A40ED"/>
    <w:rsid w:val="00152181"/>
    <w:rsid w:val="001D4852"/>
    <w:rsid w:val="00240264"/>
    <w:rsid w:val="002865F9"/>
    <w:rsid w:val="002F4B9C"/>
    <w:rsid w:val="0035306F"/>
    <w:rsid w:val="00415B72"/>
    <w:rsid w:val="004367EF"/>
    <w:rsid w:val="00463F54"/>
    <w:rsid w:val="0048609E"/>
    <w:rsid w:val="004A2694"/>
    <w:rsid w:val="004A5A87"/>
    <w:rsid w:val="004B55DB"/>
    <w:rsid w:val="004D133B"/>
    <w:rsid w:val="00506F79"/>
    <w:rsid w:val="005331EF"/>
    <w:rsid w:val="00566B64"/>
    <w:rsid w:val="005F716F"/>
    <w:rsid w:val="00653C8E"/>
    <w:rsid w:val="00692571"/>
    <w:rsid w:val="006D0228"/>
    <w:rsid w:val="0072342B"/>
    <w:rsid w:val="00751320"/>
    <w:rsid w:val="007B00A7"/>
    <w:rsid w:val="00855079"/>
    <w:rsid w:val="00861416"/>
    <w:rsid w:val="008641A8"/>
    <w:rsid w:val="00904DF9"/>
    <w:rsid w:val="009A3F18"/>
    <w:rsid w:val="009A4B11"/>
    <w:rsid w:val="009D77A0"/>
    <w:rsid w:val="00AA643D"/>
    <w:rsid w:val="00AB4638"/>
    <w:rsid w:val="00B35F82"/>
    <w:rsid w:val="00B72F8B"/>
    <w:rsid w:val="00C82B19"/>
    <w:rsid w:val="00D0469D"/>
    <w:rsid w:val="00E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694"/>
  </w:style>
  <w:style w:type="paragraph" w:styleId="Cmsor1">
    <w:name w:val="heading 1"/>
    <w:basedOn w:val="Norml"/>
    <w:next w:val="Norml"/>
    <w:link w:val="Cmsor1Char"/>
    <w:uiPriority w:val="9"/>
    <w:qFormat/>
    <w:rsid w:val="004A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1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A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86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614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B11"/>
  </w:style>
  <w:style w:type="paragraph" w:styleId="llb">
    <w:name w:val="footer"/>
    <w:basedOn w:val="Norml"/>
    <w:link w:val="llbChar"/>
    <w:uiPriority w:val="99"/>
    <w:unhideWhenUsed/>
    <w:rsid w:val="009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B11"/>
  </w:style>
  <w:style w:type="paragraph" w:styleId="Szvegtrzs">
    <w:name w:val="Body Text"/>
    <w:basedOn w:val="Norml"/>
    <w:link w:val="SzvegtrzsChar"/>
    <w:rsid w:val="004D133B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4D133B"/>
    <w:rPr>
      <w:rFonts w:eastAsia="SimSu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1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A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86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14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B11"/>
  </w:style>
  <w:style w:type="paragraph" w:styleId="llb">
    <w:name w:val="footer"/>
    <w:basedOn w:val="Norml"/>
    <w:link w:val="llbChar"/>
    <w:uiPriority w:val="99"/>
    <w:unhideWhenUsed/>
    <w:rsid w:val="009A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1931</Words>
  <Characters>13330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konyvelo</dc:creator>
  <cp:lastModifiedBy>user</cp:lastModifiedBy>
  <cp:revision>2</cp:revision>
  <dcterms:created xsi:type="dcterms:W3CDTF">2016-05-24T12:59:00Z</dcterms:created>
  <dcterms:modified xsi:type="dcterms:W3CDTF">2016-05-24T12:59:00Z</dcterms:modified>
</cp:coreProperties>
</file>